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5858d6_s8pos.htm"/>
      <w:bookmarkStart w:id="1" w:name="kstm2625858d6_s8pos"/>
      <w:bookmarkEnd w:id="0"/>
      <w:bookmarkEnd w:id="1"/>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filed with the Securities and Exchange Commission on September 24, 2026</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333-263303</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333-253894</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333-236868</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333-231559</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333-223470</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333-216446</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333-210225</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333-202856</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333-200225</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333-198206</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UNITED STATES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POST-EFFECTIVE AMENDMENT NO. 1 TO REGISTRATION STATEMENT ON FORM S-8 (Registration No. 333-263303)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POST-EFFECTIVE AMENDMENT NO. 1 TO REGISTRATION STATEMENT ON FORM S-8 (Registration No. 333-253894)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POST-EFFECTIVE AMENDMENT NO. 1 TO REGISTRATION STATEMENT ON FORM S-8 (Registration No. 333-236868)</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POST-EFFECTIVE AMENDMENT NO. 1 TO REGISTRATION STATEMENT ON FORM S-8 (Registration No. 333-231559)</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POST-EFFECTIVE AMENDMENT NO. 1 TO REGISTRATION STATEMENT ON FORM S-8 (Registration No. 333-223470)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POST-EFFECTIVE AMENDMENT NO. 1 TO REGISTRATION STATEMENT ON FORM S-8 (Registration No. 333-216446)</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POST-EFFECTIVE AMENDMENT NO. 1 TO REGISTRATION STATEMENT ON FORM S-8 (Registration No.</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333-210225)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POST-EFFECTIVE AMENDMENT NO. 1 TO REGISTRATION STATEMENT ON FORM S-8 (Registration No. 333-202856)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POST-EFFECTIVE AMENDMENT NO. 1 TO REGISTRATION STATEMENT ON FORM S-8 (Registration No. 333-200225)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POST-EFFECTIVE AMENDMENT NO. 1 TO REGISTRATION STATEMENT ON FORM S-8 (Registration No. 333-198206)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THERAVANCE BIOPHARMA,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6490" w:type="dxa"/>
        <w:jc w:val="left"/>
        <w:tblInd w:w="0" w:type="dxa"/>
        <w:tblLayout w:type="fixed"/>
        <w:tblCellMar>
          <w:top w:w="0" w:type="dxa"/>
          <w:left w:w="0" w:type="dxa"/>
          <w:bottom w:w="0" w:type="dxa"/>
          <w:right w:w="0" w:type="dxa"/>
        </w:tblCellMar>
      </w:tblPr>
      <w:tblGrid>
        <w:gridCol w:w="3575"/>
        <w:gridCol w:w="2915"/>
      </w:tblGrid>
      <w:tr>
        <w:trPr/>
        <w:tc>
          <w:tcPr>
            <w:tcW w:w="357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Cayman Islands</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of Other Jurisdiction of Incorporation</w:t>
              <w:br/>
              <w:t>or Organization)</w:t>
            </w:r>
          </w:p>
        </w:tc>
        <w:tc>
          <w:tcPr>
            <w:tcW w:w="291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98-1226628</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 Theravance Biopharma US, LLC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901 Gateway Boulevard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South San Francisco, CA 94080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(650) 808-6000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(Addresses, including zip code, and telephone numbers, including area code,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Theravance Biopharma, Inc. 2014 New Employee Equity Incentive Plan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Theravance Biopharma, Inc. 2013 Equity Incentive Plan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Theravance Biopharma, Inc. 2013 Employee Share Purchase Plan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 titles of the plans)</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Scott Platshon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President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108 Patriot Drive, Suite 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Middletown, Delaware</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19709</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and address of agent for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(302) 274-8744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number, including area code, of agent for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Copies to:</w:t>
      </w:r>
    </w:p>
    <w:tbl>
      <w:tblPr>
        <w:tblW w:w="1910" w:type="dxa"/>
        <w:jc w:val="left"/>
        <w:tblInd w:w="0" w:type="dxa"/>
        <w:tblLayout w:type="fixed"/>
        <w:tblCellMar>
          <w:top w:w="0" w:type="dxa"/>
          <w:left w:w="0" w:type="dxa"/>
          <w:bottom w:w="0" w:type="dxa"/>
          <w:right w:w="0" w:type="dxa"/>
        </w:tblCellMar>
      </w:tblPr>
      <w:tblGrid>
        <w:gridCol w:w="1910"/>
      </w:tblGrid>
      <w:tr>
        <w:trPr/>
        <w:tc>
          <w:tcPr>
            <w:tcW w:w="191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Graham Robinson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Rachael G. Coffey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Dan Li</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Kirkland &amp; Ellis LLP</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200 Clarendon Street</w:t>
              <w:br/>
              <w:t>Boston, MA 02116</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(212) 446 4800</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8600" w:type="dxa"/>
        <w:jc w:val="left"/>
        <w:tblInd w:w="0" w:type="dxa"/>
        <w:tblLayout w:type="fixed"/>
        <w:tblCellMar>
          <w:top w:w="0" w:type="dxa"/>
          <w:left w:w="0" w:type="dxa"/>
          <w:bottom w:w="0" w:type="dxa"/>
          <w:right w:w="0" w:type="dxa"/>
        </w:tblCellMar>
      </w:tblPr>
      <w:tblGrid>
        <w:gridCol w:w="2615"/>
        <w:gridCol w:w="1580"/>
        <w:gridCol w:w="1940"/>
        <w:gridCol w:w="2465"/>
      </w:tblGrid>
      <w:tr>
        <w:trPr/>
        <w:tc>
          <w:tcPr>
            <w:tcW w:w="2615" w:type="dxa"/>
            <w:tcBorders/>
            <w:vAlign w:val="center"/>
          </w:tcPr>
          <w:p>
            <w:pPr>
              <w:pStyle w:val="TableContents"/>
              <w:bidi w:val="0"/>
              <w:spacing w:before="0" w:after="283"/>
              <w:jc w:val="left"/>
              <w:rPr>
                <w:sz w:val="20"/>
              </w:rPr>
            </w:pPr>
            <w:r>
              <w:rPr>
                <w:rFonts w:ascii="Times New Roman;Times;Serif" w:hAnsi="Times New Roman;Times;Serif"/>
                <w:sz w:val="20"/>
              </w:rPr>
              <w:t xml:space="preserve">Large accelerated filer </w:t>
            </w:r>
            <w:r>
              <w:rPr>
                <w:sz w:val="20"/>
              </w:rPr>
              <w:t>☒</w:t>
            </w:r>
          </w:p>
        </w:tc>
        <w:tc>
          <w:tcPr>
            <w:tcW w:w="1580" w:type="dxa"/>
            <w:tcBorders/>
            <w:vAlign w:val="center"/>
          </w:tcPr>
          <w:p>
            <w:pPr>
              <w:pStyle w:val="TableContents"/>
              <w:bidi w:val="0"/>
              <w:spacing w:before="0" w:after="283"/>
              <w:jc w:val="left"/>
              <w:rPr>
                <w:sz w:val="20"/>
              </w:rPr>
            </w:pPr>
            <w:r>
              <w:rPr>
                <w:rFonts w:ascii="Times New Roman;Times;Serif" w:hAnsi="Times New Roman;Times;Serif"/>
                <w:sz w:val="20"/>
              </w:rPr>
              <w:t xml:space="preserve">Accelerated filer </w:t>
            </w:r>
            <w:r>
              <w:rPr>
                <w:sz w:val="20"/>
              </w:rPr>
              <w:t>☐</w:t>
            </w:r>
          </w:p>
        </w:tc>
        <w:tc>
          <w:tcPr>
            <w:tcW w:w="1940" w:type="dxa"/>
            <w:tcBorders/>
            <w:vAlign w:val="center"/>
          </w:tcPr>
          <w:p>
            <w:pPr>
              <w:pStyle w:val="TableContents"/>
              <w:bidi w:val="0"/>
              <w:spacing w:before="0" w:after="283"/>
              <w:jc w:val="center"/>
              <w:rPr>
                <w:sz w:val="20"/>
              </w:rPr>
            </w:pPr>
            <w:r>
              <w:rPr>
                <w:rFonts w:ascii="Times New Roman;Times;Serif" w:hAnsi="Times New Roman;Times;Serif"/>
                <w:sz w:val="20"/>
              </w:rPr>
              <w:t xml:space="preserve">Non-accelerated filer </w:t>
            </w:r>
            <w:r>
              <w:rPr>
                <w:sz w:val="20"/>
              </w:rPr>
              <w:t>☐</w:t>
            </w:r>
          </w:p>
        </w:tc>
        <w:tc>
          <w:tcPr>
            <w:tcW w:w="2465" w:type="dxa"/>
            <w:tcBorders/>
            <w:vAlign w:val="center"/>
          </w:tcPr>
          <w:p>
            <w:pPr>
              <w:pStyle w:val="TableContents"/>
              <w:bidi w:val="0"/>
              <w:spacing w:before="0" w:after="283"/>
              <w:jc w:val="center"/>
              <w:rPr>
                <w:sz w:val="20"/>
              </w:rPr>
            </w:pPr>
            <w:r>
              <w:rPr>
                <w:rFonts w:ascii="Times New Roman;Times;Serif" w:hAnsi="Times New Roman;Times;Serif"/>
                <w:sz w:val="20"/>
              </w:rPr>
              <w:t xml:space="preserve">Smaller reporting company </w:t>
            </w:r>
            <w:r>
              <w:rPr>
                <w:sz w:val="20"/>
              </w:rPr>
              <w:t>☐</w:t>
            </w:r>
          </w:p>
        </w:tc>
      </w:tr>
      <w:tr>
        <w:trPr/>
        <w:tc>
          <w:tcPr>
            <w:tcW w:w="2615"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center"/>
              <w:rPr/>
            </w:pPr>
            <w:r>
              <w:rPr/>
              <w:t> </w:t>
            </w:r>
          </w:p>
        </w:tc>
        <w:tc>
          <w:tcPr>
            <w:tcW w:w="2465" w:type="dxa"/>
            <w:tcBorders/>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left"/>
              <w:rPr/>
            </w:pPr>
            <w:r>
              <w:rPr/>
              <w:t xml:space="preserve">  </w:t>
            </w:r>
            <w:r>
              <w:rPr>
                <w:rFonts w:ascii="Times New Roman;Times;Serif" w:hAnsi="Times New Roman;Times;Serif"/>
                <w:sz w:val="20"/>
              </w:rPr>
              <w:t xml:space="preserve">Emerging growth company </w:t>
            </w:r>
            <w:r>
              <w:rPr/>
              <w:t>☐</w:t>
            </w:r>
          </w:p>
        </w:tc>
        <w:tc>
          <w:tcPr>
            <w:tcW w:w="158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center"/>
              <w:rPr/>
            </w:pPr>
            <w:r>
              <w:rPr/>
              <w:t> </w:t>
            </w:r>
          </w:p>
        </w:tc>
        <w:tc>
          <w:tcPr>
            <w:tcW w:w="246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of 1933, as amended.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DEREGISTRATION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Theravance Biopharma, Inc., an exempted company with limited liability incorporated under the laws of the Cayman Islands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shd w:fill="FFFFFF" w:val="clear"/>
        </w:rPr>
        <w:t>is filing these post-effective amendments (these “</w:t>
      </w:r>
      <w:r>
        <w:rPr>
          <w:rFonts w:ascii="Times New Roman;Times;Serif" w:hAnsi="Times New Roman;Times;Serif"/>
          <w:b w:val="false"/>
          <w:i w:val="false"/>
          <w:caps w:val="false"/>
          <w:smallCaps w:val="false"/>
          <w:sz w:val="20"/>
          <w:u w:val="single"/>
          <w:shd w:fill="FFFFFF" w:val="clear"/>
        </w:rPr>
        <w:t>Post-Effective Amendments</w:t>
      </w:r>
      <w:r>
        <w:rPr>
          <w:rFonts w:ascii="Times New Roman;Times;Serif" w:hAnsi="Times New Roman;Times;Serif"/>
          <w:b w:val="false"/>
          <w:i w:val="false"/>
          <w:caps w:val="false"/>
          <w:smallCaps w:val="false"/>
          <w:sz w:val="20"/>
          <w:shd w:fill="FFFFFF" w:val="clear"/>
        </w:rPr>
        <w:t>”) to the following Registration Statements on Form S-8 (the “</w:t>
      </w:r>
      <w:r>
        <w:rPr>
          <w:rFonts w:ascii="Times New Roman;Times;Serif" w:hAnsi="Times New Roman;Times;Serif"/>
          <w:b w:val="false"/>
          <w:i w:val="false"/>
          <w:caps w:val="false"/>
          <w:smallCaps w:val="false"/>
          <w:sz w:val="20"/>
          <w:u w:val="single"/>
          <w:shd w:fill="FFFFFF" w:val="clear"/>
        </w:rPr>
        <w:t>Registration Statements</w:t>
      </w:r>
      <w:r>
        <w:rPr>
          <w:rFonts w:ascii="Times New Roman;Times;Serif" w:hAnsi="Times New Roman;Times;Serif"/>
          <w:b w:val="false"/>
          <w:i w:val="false"/>
          <w:caps w:val="false"/>
          <w:smallCaps w:val="false"/>
          <w:sz w:val="20"/>
          <w:shd w:fill="FFFFFF" w:val="clear"/>
        </w:rPr>
        <w:t>”), which have been previously filed with the Securities and Exchange Commission (the “</w:t>
      </w:r>
      <w:r>
        <w:rPr>
          <w:rFonts w:ascii="Times New Roman;Times;Serif" w:hAnsi="Times New Roman;Times;Serif"/>
          <w:b w:val="false"/>
          <w:i w:val="false"/>
          <w:caps w:val="false"/>
          <w:smallCaps w:val="false"/>
          <w:sz w:val="20"/>
          <w:u w:val="single"/>
          <w:shd w:fill="FFFFFF" w:val="clear"/>
        </w:rPr>
        <w:t>SEC</w:t>
      </w:r>
      <w:r>
        <w:rPr>
          <w:rFonts w:ascii="Times New Roman;Times;Serif" w:hAnsi="Times New Roman;Times;Serif"/>
          <w:b w:val="false"/>
          <w:i w:val="false"/>
          <w:caps w:val="false"/>
          <w:smallCaps w:val="false"/>
          <w:sz w:val="20"/>
          <w:shd w:fill="FFFFFF" w:val="clear"/>
        </w:rPr>
        <w:t>”), to deregister any and all securities of the Company’s ordinary shares, par value of $0.00001 per share, previously registered but that remain unsold or otherwise unissued under each such Registration Statement as of the date hereof:</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8"/>
        <w:gridCol w:w="9920"/>
      </w:tblGrid>
      <w:tr>
        <w:trPr/>
        <w:tc>
          <w:tcPr>
            <w:tcW w:w="3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20" w:type="dxa"/>
            <w:tcBorders/>
            <w:vAlign w:val="center"/>
          </w:tcPr>
          <w:p>
            <w:pPr>
              <w:pStyle w:val="TableContents"/>
              <w:bidi w:val="0"/>
              <w:spacing w:before="0" w:after="283"/>
              <w:jc w:val="left"/>
              <w:rPr/>
            </w:pPr>
            <w:r>
              <w:rPr/>
              <w:t>Registration Statement No. 333-263303, filed with the SEC on March 4, 2022, relating to the Theravance Biopharma, Inc. 2013 Equity Incentive Plan and the Theravance Biopharma, Inc. 2013 Employee Share Purchase Plan, as amended;</w:t>
            </w:r>
          </w:p>
        </w:tc>
      </w:tr>
      <w:tr>
        <w:trPr/>
        <w:tc>
          <w:tcPr>
            <w:tcW w:w="3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20" w:type="dxa"/>
            <w:tcBorders/>
            <w:vAlign w:val="center"/>
          </w:tcPr>
          <w:p>
            <w:pPr>
              <w:pStyle w:val="TableContents"/>
              <w:bidi w:val="0"/>
              <w:spacing w:before="0" w:after="283"/>
              <w:jc w:val="left"/>
              <w:rPr/>
            </w:pPr>
            <w:r>
              <w:rPr/>
              <w:t>Registration Statement No. 333-253894, filed with the SEC on March 4, 2021, relating to the Theravance Biopharma, Inc. 2013 Equity Incentive Plan and the Theravance Biopharma, Inc. 2013 Employee Share Purchase Plan, as amended;</w:t>
            </w:r>
          </w:p>
        </w:tc>
      </w:tr>
      <w:tr>
        <w:trPr/>
        <w:tc>
          <w:tcPr>
            <w:tcW w:w="3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20" w:type="dxa"/>
            <w:tcBorders/>
            <w:vAlign w:val="center"/>
          </w:tcPr>
          <w:p>
            <w:pPr>
              <w:pStyle w:val="TableContents"/>
              <w:bidi w:val="0"/>
              <w:spacing w:before="0" w:after="283"/>
              <w:jc w:val="left"/>
              <w:rPr/>
            </w:pPr>
            <w:r>
              <w:rPr/>
              <w:t>Registration Statement No. 333-236868, filed with the SEC on March 3, 2020, relating to the Theravance Biopharma, Inc. 2013 Equity Incentive Plan and the Theravance Biopharma, Inc. 2013 Employee Share Purchase Plan, as amended;</w:t>
            </w:r>
          </w:p>
        </w:tc>
      </w:tr>
      <w:tr>
        <w:trPr/>
        <w:tc>
          <w:tcPr>
            <w:tcW w:w="3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20" w:type="dxa"/>
            <w:tcBorders/>
            <w:vAlign w:val="center"/>
          </w:tcPr>
          <w:p>
            <w:pPr>
              <w:pStyle w:val="TableContents"/>
              <w:bidi w:val="0"/>
              <w:spacing w:before="0" w:after="283"/>
              <w:jc w:val="left"/>
              <w:rPr/>
            </w:pPr>
            <w:r>
              <w:rPr/>
              <w:t>Registration Statement No. 333-231559, filed with the SEC on May 17, 2019, relating to the Theravance Biopharma, Inc. 2013 Equity Incentive Plan and the Theravance Biopharma, Inc. 2013 Employee Share Purchase Plan, as amended;</w:t>
            </w:r>
          </w:p>
        </w:tc>
      </w:tr>
      <w:tr>
        <w:trPr/>
        <w:tc>
          <w:tcPr>
            <w:tcW w:w="3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20" w:type="dxa"/>
            <w:tcBorders/>
            <w:vAlign w:val="center"/>
          </w:tcPr>
          <w:p>
            <w:pPr>
              <w:pStyle w:val="TableContents"/>
              <w:bidi w:val="0"/>
              <w:spacing w:before="0" w:after="283"/>
              <w:jc w:val="left"/>
              <w:rPr/>
            </w:pPr>
            <w:r>
              <w:rPr/>
              <w:t>Registration Statement No. 333-223470, filed with the SEC on March 6, 2018, relating to the Theravance Biopharma, Inc. 2013 Equity Incentive Plan and the Theravance Biopharma, Inc. 2013 Employee Share Purchase Plan, as amended;</w:t>
            </w:r>
          </w:p>
        </w:tc>
      </w:tr>
      <w:tr>
        <w:trPr/>
        <w:tc>
          <w:tcPr>
            <w:tcW w:w="3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920" w:type="dxa"/>
            <w:tcBorders/>
            <w:vAlign w:val="center"/>
          </w:tcPr>
          <w:p>
            <w:pPr>
              <w:pStyle w:val="TableContents"/>
              <w:bidi w:val="0"/>
              <w:spacing w:before="0" w:after="283"/>
              <w:jc w:val="left"/>
              <w:rPr/>
            </w:pPr>
            <w:r>
              <w:rPr/>
              <w:t>Registration Statement No. 333-216446, filed with the SEC on March 3, 2017, relating to the Theravance Biopharma, Inc. 2013 Equity Incentive Plan and the Theravance Biopharma, Inc. 2013 Employee Share Purchase Plan, as amended;</w:t>
            </w:r>
          </w:p>
        </w:tc>
      </w:tr>
      <w:tr>
        <w:trPr/>
        <w:tc>
          <w:tcPr>
            <w:tcW w:w="3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9920" w:type="dxa"/>
            <w:tcBorders/>
            <w:vAlign w:val="center"/>
          </w:tcPr>
          <w:p>
            <w:pPr>
              <w:pStyle w:val="TableContents"/>
              <w:bidi w:val="0"/>
              <w:spacing w:before="0" w:after="283"/>
              <w:jc w:val="left"/>
              <w:rPr/>
            </w:pPr>
            <w:r>
              <w:rPr/>
              <w:t>Registration Statement No. 333-210225, filed with the SEC on March 15, 2016, relating to the Theravance Biopharma, Inc. 2013 Equity Incentive Plan and the Theravance Biopharma, Inc. 2013 Employee Share Purchase Plan, as amended;</w:t>
            </w:r>
          </w:p>
        </w:tc>
      </w:tr>
      <w:tr>
        <w:trPr/>
        <w:tc>
          <w:tcPr>
            <w:tcW w:w="3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9920" w:type="dxa"/>
            <w:tcBorders/>
            <w:vAlign w:val="center"/>
          </w:tcPr>
          <w:p>
            <w:pPr>
              <w:pStyle w:val="TableContents"/>
              <w:bidi w:val="0"/>
              <w:spacing w:before="0" w:after="283"/>
              <w:jc w:val="left"/>
              <w:rPr/>
            </w:pPr>
            <w:r>
              <w:rPr/>
              <w:t>Registration Statement No. 333-202856, filed with the SEC on March 18, 2015, relating to the Theravance Biopharma, Inc. 2013 Equity Incentive Plan and the Theravance Biopharma, Inc. 2013 Employee Share Purchase Plan, as amended;</w:t>
            </w:r>
          </w:p>
        </w:tc>
      </w:tr>
      <w:tr>
        <w:trPr/>
        <w:tc>
          <w:tcPr>
            <w:tcW w:w="3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w:t>
            </w:r>
          </w:p>
        </w:tc>
        <w:tc>
          <w:tcPr>
            <w:tcW w:w="9920" w:type="dxa"/>
            <w:tcBorders/>
            <w:vAlign w:val="center"/>
          </w:tcPr>
          <w:p>
            <w:pPr>
              <w:pStyle w:val="TableContents"/>
              <w:bidi w:val="0"/>
              <w:spacing w:before="0" w:after="283"/>
              <w:jc w:val="left"/>
              <w:rPr/>
            </w:pPr>
            <w:r>
              <w:rPr/>
              <w:t>Registration Statement No. 333-200225, filed with the SEC on November 14, 2014, relating to the Theravance Biopharma, Inc. 2014 New Employee Equity Incentive Plan; and</w:t>
            </w:r>
          </w:p>
        </w:tc>
      </w:tr>
      <w:tr>
        <w:trPr/>
        <w:tc>
          <w:tcPr>
            <w:tcW w:w="3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w:t>
            </w:r>
          </w:p>
        </w:tc>
        <w:tc>
          <w:tcPr>
            <w:tcW w:w="9920" w:type="dxa"/>
            <w:tcBorders/>
            <w:vAlign w:val="center"/>
          </w:tcPr>
          <w:p>
            <w:pPr>
              <w:pStyle w:val="TableContents"/>
              <w:bidi w:val="0"/>
              <w:spacing w:before="0" w:after="283"/>
              <w:jc w:val="left"/>
              <w:rPr/>
            </w:pPr>
            <w:r>
              <w:rPr/>
              <w:t>Registration Statement No. 333-198206, filed with the SEC on August 18, 2014, relating to the Theravance Biopharma, Inc. 2013 Equity Incentive Plan and the Theravance Biopharma, Inc. 2013 Employee Share Purchase Plan, as amended.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23, 2026, pursuant to an Agreement and Plan of Merger, dated as of June 28, 2026, by and among the Company, Zymeworks Inc., a Delaware corporation (“</w:t>
      </w:r>
      <w:r>
        <w:rPr>
          <w:rFonts w:ascii="Times New Roman;Times;Serif" w:hAnsi="Times New Roman;Times;Serif"/>
          <w:b w:val="false"/>
          <w:i w:val="false"/>
          <w:caps w:val="false"/>
          <w:smallCaps w:val="false"/>
          <w:sz w:val="20"/>
          <w:u w:val="single"/>
        </w:rPr>
        <w:t>Parent</w:t>
      </w:r>
      <w:r>
        <w:rPr>
          <w:rFonts w:ascii="Times New Roman;Times;Serif" w:hAnsi="Times New Roman;Times;Serif"/>
          <w:b w:val="false"/>
          <w:i w:val="false"/>
          <w:caps w:val="false"/>
          <w:smallCaps w:val="false"/>
          <w:sz w:val="20"/>
        </w:rPr>
        <w:t>”), and Zymeworks Merger Sub 1, an exempted company with limited liability incorporated under the laws of the Cayman Islands and a wholly owned subsidiary of Parent (“</w:t>
      </w:r>
      <w:r>
        <w:rPr>
          <w:rFonts w:ascii="Times New Roman;Times;Serif" w:hAnsi="Times New Roman;Times;Serif"/>
          <w:b w:val="false"/>
          <w:i w:val="false"/>
          <w:caps w:val="false"/>
          <w:smallCaps w:val="false"/>
          <w:sz w:val="20"/>
          <w:u w:val="single"/>
        </w:rPr>
        <w:t>Merger Sub</w:t>
      </w:r>
      <w:r>
        <w:rPr>
          <w:rFonts w:ascii="Times New Roman;Times;Serif" w:hAnsi="Times New Roman;Times;Serif"/>
          <w:b w:val="false"/>
          <w:i w:val="false"/>
          <w:caps w:val="false"/>
          <w:smallCaps w:val="false"/>
          <w:sz w:val="20"/>
        </w:rPr>
        <w:t>”), Merger Sub merged with and into the Company (the “</w:t>
      </w:r>
      <w:r>
        <w:rPr>
          <w:rFonts w:ascii="Times New Roman;Times;Serif" w:hAnsi="Times New Roman;Times;Serif"/>
          <w:b w:val="false"/>
          <w:i w:val="false"/>
          <w:caps w:val="false"/>
          <w:smallCaps w:val="false"/>
          <w:sz w:val="20"/>
          <w:u w:val="single"/>
        </w:rPr>
        <w:t>Merger</w:t>
      </w:r>
      <w:r>
        <w:rPr>
          <w:rFonts w:ascii="Times New Roman;Times;Serif" w:hAnsi="Times New Roman;Times;Serif"/>
          <w:b w:val="false"/>
          <w:i w:val="false"/>
          <w:caps w:val="false"/>
          <w:smallCaps w:val="false"/>
          <w:sz w:val="20"/>
        </w:rPr>
        <w:t>”), with the Company surviving the Merger as a wholly owned subsidiary of Parent.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Merger, the Company has terminated all offerings of its securities pursuant to the Registration Statements. In accordance with undertakings made by the Company in the Registration Statements to remove from registration, by means of these Post-Effective Amendments, any securities that had been registered but remain unsold at the termination of the offering, the Company hereby amends the Registration Statements to remove from registration all such securities, as applicable, registered under the Registration Statements that remain unsold as of the date of these Post-Effective Amendments.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the Registrant certifies that it has reasonable grounds to believe that it meets all of the requirements for filing on Form S-8 and has duly caused these Post-Effective Amendments to be signed on its behalf by the undersigned, thereunto duly authorized, in the City of Middletown, State of Delaware, on September 24, 2026.</w:t>
      </w:r>
    </w:p>
    <w:p>
      <w:pPr>
        <w:pStyle w:val="TextBody"/>
        <w:bidi w:val="0"/>
        <w:spacing w:before="0" w:after="0"/>
        <w:ind w:left="0" w:right="0" w:hanging="0"/>
        <w:jc w:val="left"/>
        <w:rPr>
          <w:caps w:val="false"/>
          <w:smallCaps w:val="false"/>
        </w:rPr>
      </w:pPr>
      <w:r>
        <w:rPr>
          <w:caps w:val="false"/>
          <w:smallCaps w:val="false"/>
        </w:rPr>
        <w:t> </w:t>
      </w:r>
    </w:p>
    <w:tbl>
      <w:tblPr>
        <w:tblW w:w="3214" w:type="dxa"/>
        <w:jc w:val="left"/>
        <w:tblInd w:w="0" w:type="dxa"/>
        <w:tblLayout w:type="fixed"/>
        <w:tblCellMar>
          <w:top w:w="0" w:type="dxa"/>
          <w:left w:w="0" w:type="dxa"/>
          <w:bottom w:w="0" w:type="dxa"/>
          <w:right w:w="0" w:type="dxa"/>
        </w:tblCellMar>
      </w:tblPr>
      <w:tblGrid>
        <w:gridCol w:w="75"/>
        <w:gridCol w:w="910"/>
        <w:gridCol w:w="2229"/>
      </w:tblGrid>
      <w:tr>
        <w:trPr/>
        <w:tc>
          <w:tcPr>
            <w:tcW w:w="75" w:type="dxa"/>
            <w:tcBorders/>
            <w:vAlign w:val="center"/>
          </w:tcPr>
          <w:p>
            <w:pPr>
              <w:pStyle w:val="TableContents"/>
              <w:bidi w:val="0"/>
              <w:spacing w:before="0" w:after="283"/>
              <w:jc w:val="left"/>
              <w:rPr/>
            </w:pPr>
            <w:r>
              <w:rPr/>
              <w:t> </w:t>
            </w:r>
          </w:p>
        </w:tc>
        <w:tc>
          <w:tcPr>
            <w:tcW w:w="313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THERAVANCE BIOPHARMA, INC.</w:t>
            </w:r>
          </w:p>
        </w:tc>
      </w:tr>
      <w:tr>
        <w:trPr/>
        <w:tc>
          <w:tcPr>
            <w:tcW w:w="75" w:type="dxa"/>
            <w:tcBorders/>
            <w:vAlign w:val="center"/>
          </w:tcPr>
          <w:p>
            <w:pPr>
              <w:pStyle w:val="TableContents"/>
              <w:bidi w:val="0"/>
              <w:spacing w:before="0" w:after="283"/>
              <w:jc w:val="left"/>
              <w:rPr/>
            </w:pPr>
            <w:r>
              <w:rPr/>
              <w:t> </w:t>
            </w:r>
          </w:p>
        </w:tc>
        <w:tc>
          <w:tcPr>
            <w:tcW w:w="313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222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Scott Platshon</w:t>
            </w:r>
          </w:p>
        </w:tc>
      </w:tr>
      <w:tr>
        <w:trPr/>
        <w:tc>
          <w:tcPr>
            <w:tcW w:w="75"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22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Scott Platshon</w:t>
            </w:r>
          </w:p>
        </w:tc>
      </w:tr>
      <w:tr>
        <w:trPr/>
        <w:tc>
          <w:tcPr>
            <w:tcW w:w="75"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2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other person is required to sign these Post-Effective Amendments in reliance upon Rule 478 of the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1137</Words>
  <Characters>6649</Characters>
  <CharactersWithSpaces>7760</CharactersWithSpaces>
  <Paragraphs>157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