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58d2_s8pos.htm"/>
      <w:bookmarkStart w:id="1" w:name="kstm2625858d2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333-263303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333-253894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333-236868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333-231559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333-223470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333-216446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333-202856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333-198206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333-263303)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333-253894)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333-236868)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333-231559)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333-223470)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333-216446)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333-210225)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333-202856)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333-198206)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575"/>
        <w:gridCol w:w="291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Other Jurisdiction of Incorporation</w:t>
              <w:br/>
              <w:t>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98-1226628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San Francisco, CA 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2014 New Employee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Employee Share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Platshon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Patriot Drive, Suite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Middletown, Delaware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19709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274-8744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Graham Robinson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G. Coffey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 Li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Clarendon Street</w:t>
              <w:b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446 4800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615"/>
        <w:gridCol w:w="1580"/>
        <w:gridCol w:w="1940"/>
        <w:gridCol w:w="2465"/>
      </w:tblGrid>
      <w:tr>
        <w:trPr/>
        <w:tc>
          <w:tcPr>
            <w:tcW w:w="261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r>
      <w:tr>
        <w:trPr/>
        <w:tc>
          <w:tcPr>
            <w:tcW w:w="261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  </w:t>
            </w: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the Company’s ordinary shares, par value of $0.00001 per share, previously registered but that remain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left"/>
              <w:rPr/>
            </w:pPr>
            <w:r>
              <w:rPr/>
              <w:t>Registration Statement No. 333-263303, filed with the SEC on March 4, 2022,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left"/>
              <w:rPr/>
            </w:pPr>
            <w:r>
              <w:rPr/>
              <w:t>Registration Statement No. 333-253894, filed with the SEC on March 4, 2021,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left"/>
              <w:rPr/>
            </w:pPr>
            <w:r>
              <w:rPr/>
              <w:t>Registration Statement No. 333-236868, filed with the SEC on March 3, 2020,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left"/>
              <w:rPr/>
            </w:pPr>
            <w:r>
              <w:rPr/>
              <w:t>Registration Statement No. 333-231559, filed with the SEC on May 17, 2019,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0" w:type="dxa"/>
            <w:tcBorders/>
            <w:vAlign w:val="center"/>
          </w:tcPr>
          <w:p>
            <w:pPr>
              <w:pStyle w:val="TableContents"/>
              <w:bidi w:val="0"/>
              <w:spacing w:before="0" w:after="283"/>
              <w:jc w:val="left"/>
              <w:rPr/>
            </w:pPr>
            <w:r>
              <w:rPr/>
              <w:t>Registration Statement No. 333-223470, filed with the SEC on March 6, 2018,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0" w:type="dxa"/>
            <w:tcBorders/>
            <w:vAlign w:val="center"/>
          </w:tcPr>
          <w:p>
            <w:pPr>
              <w:pStyle w:val="TableContents"/>
              <w:bidi w:val="0"/>
              <w:spacing w:before="0" w:after="283"/>
              <w:jc w:val="left"/>
              <w:rPr/>
            </w:pPr>
            <w:r>
              <w:rPr/>
              <w:t>Registration Statement No. 333-216446, filed with the SEC on March 3, 2017,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20" w:type="dxa"/>
            <w:tcBorders/>
            <w:vAlign w:val="center"/>
          </w:tcPr>
          <w:p>
            <w:pPr>
              <w:pStyle w:val="TableContents"/>
              <w:bidi w:val="0"/>
              <w:spacing w:before="0" w:after="283"/>
              <w:jc w:val="left"/>
              <w:rPr/>
            </w:pPr>
            <w:r>
              <w:rPr/>
              <w:t>Registration Statement No. 333-210225, filed with the SEC on March 15, 2016,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0" w:type="dxa"/>
            <w:tcBorders/>
            <w:vAlign w:val="center"/>
          </w:tcPr>
          <w:p>
            <w:pPr>
              <w:pStyle w:val="TableContents"/>
              <w:bidi w:val="0"/>
              <w:spacing w:before="0" w:after="283"/>
              <w:jc w:val="left"/>
              <w:rPr/>
            </w:pPr>
            <w:r>
              <w:rPr/>
              <w:t>Registration Statement No. 333-202856, filed with the SEC on March 18, 2015,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0" w:type="dxa"/>
            <w:tcBorders/>
            <w:vAlign w:val="center"/>
          </w:tcPr>
          <w:p>
            <w:pPr>
              <w:pStyle w:val="TableContents"/>
              <w:bidi w:val="0"/>
              <w:spacing w:before="0" w:after="283"/>
              <w:jc w:val="left"/>
              <w:rPr/>
            </w:pPr>
            <w:r>
              <w:rPr/>
              <w:t>Registration Statement No. 333-200225, filed with the SEC on November 14, 2014, relating to the Theravance Biopharma, Inc. 2014 New Employee Equity Incentive Plan;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20" w:type="dxa"/>
            <w:tcBorders/>
            <w:vAlign w:val="center"/>
          </w:tcPr>
          <w:p>
            <w:pPr>
              <w:pStyle w:val="TableContents"/>
              <w:bidi w:val="0"/>
              <w:spacing w:before="0" w:after="283"/>
              <w:jc w:val="left"/>
              <w:rPr/>
            </w:pPr>
            <w:r>
              <w:rPr/>
              <w:t>Registration Statement No. 333-198206, filed with the SEC on August 18, 2014, relating to the Theravance Biopharma, Inc. 2013 Equity Incentive Plan and the Theravance Biopharma, Inc. 2013 Employee Share Purchase Plan,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pursuant to an Agreement and Plan of Merger, dated as of June 28, 2026, by and among the Company,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Company has terminated all offerings of its securities pursuant to the Registration Statements. In accordance with undertakings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such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Middletown, State of Delaware, on September 24, 2026.</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910"/>
        <w:gridCol w:w="2229"/>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2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6649</Characters>
  <CharactersWithSpaces>7760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