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Weiss Asset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BERKELEY STREET, 16TH FLOOR</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Theravance Biopharma, Inc.</w:t>
              </w:r>
            </w:hyperlink>
            <w:r>
              <w:rPr/>
              <w:t xml:space="preserve"> [ </w:t>
            </w:r>
            <w:r>
              <w:rPr>
                <w:rFonts w:ascii="Times;serif" w:hAnsi="Times;serif"/>
                <w:color w:val="0000FF"/>
                <w:sz w:val="24"/>
                <w:shd w:fill="FFFFFF" w:val="clear"/>
              </w:rPr>
              <w:t>TBPH</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Former 10% Owner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8"/>
        <w:gridCol w:w="900"/>
        <w:gridCol w:w="771"/>
        <w:gridCol w:w="597"/>
        <w:gridCol w:w="342"/>
        <w:gridCol w:w="1180"/>
        <w:gridCol w:w="439"/>
        <w:gridCol w:w="601"/>
        <w:gridCol w:w="1136"/>
        <w:gridCol w:w="977"/>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2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Ordinary Share $0.00001 Par Value</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J</w:t>
            </w:r>
            <w:r>
              <w:rPr>
                <w:rFonts w:ascii="Times;serif" w:hAnsi="Times;serif"/>
                <w:color w:val="008000"/>
                <w:position w:val="7"/>
                <w:sz w:val="16"/>
                <w:sz w:val="20"/>
                <w:shd w:fill="FFFFFF" w:val="clear"/>
              </w:rPr>
              <w:t>(1)</w:t>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7,457,060</w:t>
            </w:r>
            <w:r>
              <w:rPr>
                <w:rFonts w:ascii="Times;serif" w:hAnsi="Times;serif"/>
                <w:color w:val="008000"/>
                <w:position w:val="7"/>
                <w:sz w:val="16"/>
                <w:sz w:val="20"/>
                <w:shd w:fill="FFFFFF" w:val="clear"/>
              </w:rPr>
              <w:t>(2)</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w:t>
            </w:r>
            <w:r>
              <w:rPr>
                <w:rFonts w:ascii="Times;serif" w:hAnsi="Times;serif"/>
                <w:color w:val="008000"/>
                <w:position w:val="7"/>
                <w:sz w:val="16"/>
                <w:sz w:val="20"/>
                <w:shd w:fill="FFFFFF" w:val="clear"/>
              </w:rPr>
              <w:t>(3)</w:t>
            </w:r>
          </w:p>
        </w:tc>
        <w:tc>
          <w:tcPr>
            <w:tcW w:w="11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See Footnote 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Weiss Asset Management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BERKELEY STREET, 16TH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WEISS ANDREW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BERKELEY STREET, 16TH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WAM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222 BERKELEY STREET, 16TH FLOOR</w:t>
                  </w:r>
                </w:p>
              </w:tc>
            </w:tr>
            <w:tr>
              <w:trPr/>
              <w:tc>
                <w:tcPr>
                  <w:tcW w:w="396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BOSTON</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02116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September 23, 2026, pursuant to that certain Agreement and Plan of Merger (the "Merger Agreement"), dated June 28, 2026, by and among the Issuer, Zymeworks Inc. ("Parent"), and Zymeworks Merger Sub 1, a wholly owned subsidiary of Parent, the Issuer became a wholly owned subsidiary of Parent (the "Merger"). At the effective time of the Merger (the "Effective Time"), pursuant to the Merger Agreement, each Ordinary Share $0.00001 Par Value of the Issuer held by the reporting person as of immediately prior to the Effective Time was cancelled and converted into the right to receive (i) $17.00 in cash, without interest (the "Per Share Cash Consideration") and (ii) one contingent value right (a "CVR"). Each CVR represents a non-tradeable contractual contingent right to receive cash payments based on the achievement of certain commercial milestones following the Effective Time.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reported herein represent shares beneficially owned by two private investment funds for which Weiss Asset Management LP serves as investment manager. WAM GP LLC is the general partner of Weiss Asset Management LP and Andrew Weiss is the Manager of WAM GP LLC. All of Weiss Asset Management LP, WAM GP LLC, and Andrew Weiss disclaim beneficial ownership of the shares reported herein except to the extent of their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the cash portion of the consideration paid to shareholders upon the closing of the Merger.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Georgiy Nikitin, Chief Compliance Officer, Weiss Asset Management LP and WAM GP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Georgiy Nikitin, duly authorized under a power of attorney by Andrew M. Weiss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57550" TargetMode="External"/><Relationship Id="rId5" Type="http://schemas.openxmlformats.org/officeDocument/2006/relationships/hyperlink" Target="http://www.sec.gov/cgi-bin/browse-edgar?action=getcompany&amp;CIK=000158310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357550" TargetMode="External"/><Relationship Id="rId9" Type="http://schemas.openxmlformats.org/officeDocument/2006/relationships/hyperlink" Target="http://www.sec.gov/cgi-bin/browse-edgar?action=getcompany&amp;CIK=0001357643" TargetMode="External"/><Relationship Id="rId10" Type="http://schemas.openxmlformats.org/officeDocument/2006/relationships/hyperlink" Target="http://www.sec.gov/cgi-bin/browse-edgar?action=getcompany&amp;CIK=0001504664"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901</Words>
  <Characters>4852</Characters>
  <CharactersWithSpaces>5642</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