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Theravance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 $0.00001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Weiss Asset Management LP</w:t>
              <w:br/>
              <w:t>c/o Georgiy Nikitin, 222 Berkeley St., 16th Floor</w:t>
              <w:br/>
              <w:t>Boston, MA, 02116</w:t>
              <w:br/>
              <w:t>(617) 778-7725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Weiss Asset Management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8, 10, 11, and 13: Please See Item 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BIP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8, 10, 11, and 13: Please See Item 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WAM GP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8, 10, 11, and 13: Please See Item 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Andrew M. Weiss</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8, 10, 11, and 13: Please See Item 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0"/>
        <w:gridCol w:w="8880"/>
        <w:gridCol w:w="155"/>
      </w:tblGrid>
      <w:tr>
        <w:trPr/>
        <w:tc>
          <w:tcPr>
            <w:tcW w:w="1170" w:type="dxa"/>
            <w:tcBorders/>
            <w:vAlign w:val="center"/>
          </w:tcPr>
          <w:p>
            <w:pPr>
              <w:pStyle w:val="TableContents"/>
              <w:bidi w:val="0"/>
              <w:spacing w:before="0" w:after="283"/>
              <w:jc w:val="left"/>
              <w:rPr/>
            </w:pPr>
            <w:r>
              <w:rPr/>
              <w:t>Item 1.</w:t>
            </w:r>
          </w:p>
        </w:tc>
        <w:tc>
          <w:tcPr>
            <w:tcW w:w="8880"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 $0.00001 Par Value</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jc w:val="left"/>
              <w:rPr/>
            </w:pPr>
            <w:r>
              <w:rPr/>
              <w:t xml:space="preserve">Name of Issuer: </w:t>
            </w:r>
          </w:p>
          <w:p>
            <w:pPr>
              <w:pStyle w:val="TableContents"/>
              <w:bidi w:val="0"/>
              <w:spacing w:before="0" w:after="0"/>
              <w:jc w:val="left"/>
              <w:rPr/>
            </w:pPr>
            <w:r>
              <w:rPr/>
              <w:t>Theravance Biopharma, Inc.</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Ugland House, South Church Street, George Town, CAYMAN ISLANDS , KY1-1104.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4 (this "Amendment") to Schedule 13D amends the Schedule 13D initially filed on April 12, 2023, (as amended prior to the date hereof, the "Prior Schedule 13D" and, as so amended by this Amendment, the "Schedule 13D") with respect to the items set forth below. Capitalized terms used without definition in this Amendment have the meanings assigned to them in the Prior Schedule 13D.</w:t>
            </w:r>
          </w:p>
        </w:tc>
      </w:tr>
      <w:tr>
        <w:trPr/>
        <w:tc>
          <w:tcPr>
            <w:tcW w:w="1170" w:type="dxa"/>
            <w:tcBorders/>
            <w:vAlign w:val="center"/>
          </w:tcPr>
          <w:p>
            <w:pPr>
              <w:pStyle w:val="TableContents"/>
              <w:bidi w:val="0"/>
              <w:spacing w:before="0" w:after="283"/>
              <w:jc w:val="left"/>
              <w:rPr/>
            </w:pPr>
            <w:r>
              <w:rPr/>
              <w:t>Item 5.</w:t>
            </w:r>
          </w:p>
        </w:tc>
        <w:tc>
          <w:tcPr>
            <w:tcW w:w="8880"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(a)</w:t>
            </w:r>
          </w:p>
        </w:tc>
        <w:tc>
          <w:tcPr>
            <w:tcW w:w="8880" w:type="dxa"/>
            <w:tcBorders/>
            <w:vAlign w:val="center"/>
          </w:tcPr>
          <w:p>
            <w:pPr>
              <w:pStyle w:val="TableContents"/>
              <w:bidi w:val="0"/>
              <w:spacing w:before="0" w:after="0"/>
              <w:jc w:val="left"/>
              <w:rPr/>
            </w:pPr>
            <w:r>
              <w:rPr/>
              <w:t>Item 5 of the Schedule 13D is hereby amended and restated in its entirety as follows: The percentages set forth above have been calculated based on 51,918,754 shares of the Issuer's Shares issued and outstanding as of July 31, 2026, as reported in the Issuer's Form 8-K, filed with the SEC on September 18, 2026. Each of the Reporting Persons disclaims beneficial ownership of all of the Shares, except to the extent of its or his pecuniary interest therein, and the filing of this Schedule 13D/A shall not be deemed an admission of beneficial ownership of any Shares for any purpose. 0 Shares, representing 0.0% of the outstanding shares of the Issuer, are held by BIP. BIP GP LLC is the general partner of BIP. Weiss Asset Management LP is the investment manager of BIP. Dr. Weiss is the managing member of WAM GP LLC and in such capacity has the power to vote and dispose of such Shares. 0 Shares, representing 0.0% of the outstanding shares of the Issuer, are held by BGO. Weiss Asset Management LP is the investment manager of BGO. Dr. Weiss is the managing member of WAM GP LLC and in such capacity has the power to vote and dispose of such Shares. See cover page above for the aggregate number and percentage beneficially owned by each of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(b)</w:t>
            </w:r>
          </w:p>
        </w:tc>
        <w:tc>
          <w:tcPr>
            <w:tcW w:w="8880" w:type="dxa"/>
            <w:tcBorders/>
            <w:vAlign w:val="center"/>
          </w:tcPr>
          <w:p>
            <w:pPr>
              <w:pStyle w:val="TableContents"/>
              <w:bidi w:val="0"/>
              <w:spacing w:before="0" w:after="0"/>
              <w:jc w:val="left"/>
              <w:rPr/>
            </w:pPr>
            <w:r>
              <w:rPr/>
              <w:t>See Item 5 (a).</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(c)</w:t>
            </w:r>
          </w:p>
        </w:tc>
        <w:tc>
          <w:tcPr>
            <w:tcW w:w="8880" w:type="dxa"/>
            <w:tcBorders/>
            <w:vAlign w:val="center"/>
          </w:tcPr>
          <w:p>
            <w:pPr>
              <w:pStyle w:val="TableContents"/>
              <w:bidi w:val="0"/>
              <w:spacing w:before="0" w:after="0"/>
              <w:jc w:val="left"/>
              <w:rPr/>
            </w:pPr>
            <w:r>
              <w:rPr/>
              <w:t>The Reporting Persons did not effect any transactions in the Issuer's Shares during the past 60 days. The Issuer's Shares were cancelled on September 23, 2026 in connection with the completion of the merger with Zymeworks Inc.</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(d)</w:t>
            </w:r>
          </w:p>
        </w:tc>
        <w:tc>
          <w:tcPr>
            <w:tcW w:w="8880" w:type="dxa"/>
            <w:tcBorders/>
            <w:vAlign w:val="center"/>
          </w:tcPr>
          <w:p>
            <w:pPr>
              <w:pStyle w:val="TableContents"/>
              <w:bidi w:val="0"/>
              <w:spacing w:before="0" w:after="0"/>
              <w:jc w:val="left"/>
              <w:rPr/>
            </w:pPr>
            <w:r>
              <w:rPr/>
              <w:t>Other than the Funds that directly hold the securities of the Issuer, and except as set forth in this Item 5, no other person is known to have the right to receive, or the power to direct the receipt of, dividends from or proceeds from the sale, of the Shares.</w:t>
            </w:r>
          </w:p>
        </w:tc>
        <w:tc>
          <w:tcPr>
            <w:tcW w:w="155" w:type="dxa"/>
            <w:tcBorders/>
          </w:tcPr>
          <w:p>
            <w:pPr>
              <w:pStyle w:val="TableContents"/>
              <w:bidi w:val="0"/>
              <w:spacing w:before="0" w:after="283"/>
              <w:jc w:val="left"/>
              <w:rPr>
                <w:sz w:val="4"/>
                <w:szCs w:val="4"/>
              </w:rPr>
            </w:pPr>
            <w:r>
              <w:rPr>
                <w:sz w:val="4"/>
                <w:szCs w:val="4"/>
              </w:rPr>
            </w:r>
          </w:p>
        </w:tc>
      </w:tr>
      <w:tr>
        <w:trPr/>
        <w:tc>
          <w:tcPr>
            <w:tcW w:w="1170" w:type="dxa"/>
            <w:tcBorders/>
            <w:vAlign w:val="center"/>
          </w:tcPr>
          <w:p>
            <w:pPr>
              <w:pStyle w:val="TableContents"/>
              <w:bidi w:val="0"/>
              <w:spacing w:before="0" w:after="283"/>
              <w:jc w:val="left"/>
              <w:rPr/>
            </w:pPr>
            <w:r>
              <w:rPr/>
              <w:t>(e)</w:t>
            </w:r>
          </w:p>
        </w:tc>
        <w:tc>
          <w:tcPr>
            <w:tcW w:w="8880" w:type="dxa"/>
            <w:tcBorders/>
            <w:vAlign w:val="center"/>
          </w:tcPr>
          <w:p>
            <w:pPr>
              <w:pStyle w:val="TableContents"/>
              <w:bidi w:val="0"/>
              <w:spacing w:before="0" w:after="0"/>
              <w:jc w:val="left"/>
              <w:rPr/>
            </w:pPr>
            <w:r>
              <w:rPr/>
              <w:t>September 23,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74" w:type="dxa"/>
        <w:jc w:val="left"/>
        <w:tblInd w:w="0" w:type="dxa"/>
        <w:tblLayout w:type="fixed"/>
        <w:tblCellMar>
          <w:top w:w="28" w:type="dxa"/>
          <w:left w:w="28" w:type="dxa"/>
          <w:bottom w:w="28" w:type="dxa"/>
          <w:right w:w="28" w:type="dxa"/>
        </w:tblCellMar>
      </w:tblPr>
      <w:tblGrid>
        <w:gridCol w:w="3087"/>
        <w:gridCol w:w="3087"/>
      </w:tblGrid>
      <w:tr>
        <w:trPr/>
        <w:tc>
          <w:tcPr>
            <w:tcW w:w="3087" w:type="dxa"/>
            <w:tcBorders/>
            <w:vAlign w:val="center"/>
          </w:tcPr>
          <w:p>
            <w:pPr>
              <w:pStyle w:val="TableContents"/>
              <w:bidi w:val="0"/>
              <w:spacing w:before="0" w:after="0"/>
              <w:jc w:val="left"/>
              <w:rPr/>
            </w:pPr>
            <w:r>
              <w:rPr/>
              <w:t> </w:t>
            </w:r>
          </w:p>
          <w:tbl>
            <w:tblPr>
              <w:tblW w:w="2956" w:type="dxa"/>
              <w:jc w:val="left"/>
              <w:tblInd w:w="0" w:type="dxa"/>
              <w:tblLayout w:type="fixed"/>
              <w:tblCellMar>
                <w:top w:w="28" w:type="dxa"/>
                <w:left w:w="28" w:type="dxa"/>
                <w:bottom w:w="28" w:type="dxa"/>
                <w:right w:w="28" w:type="dxa"/>
              </w:tblCellMar>
            </w:tblPr>
            <w:tblGrid>
              <w:gridCol w:w="2956"/>
            </w:tblGrid>
            <w:tr>
              <w:trPr/>
              <w:tc>
                <w:tcPr>
                  <w:tcW w:w="2956" w:type="dxa"/>
                  <w:tcBorders/>
                  <w:vAlign w:val="center"/>
                </w:tcPr>
                <w:p>
                  <w:pPr>
                    <w:pStyle w:val="TableContents"/>
                    <w:bidi w:val="0"/>
                    <w:spacing w:before="0" w:after="0"/>
                    <w:jc w:val="left"/>
                    <w:rPr/>
                  </w:pPr>
                  <w:r>
                    <w:rPr/>
                    <w:t>Weiss Asset Management LP</w:t>
                  </w:r>
                </w:p>
              </w:tc>
            </w:tr>
          </w:tbl>
          <w:p>
            <w:pPr>
              <w:pStyle w:val="TableContents"/>
              <w:bidi w:val="0"/>
              <w:spacing w:before="0" w:after="283"/>
              <w:jc w:val="left"/>
              <w:rPr/>
            </w:pPr>
            <w:r>
              <w:rPr/>
            </w:r>
          </w:p>
        </w:tc>
        <w:tc>
          <w:tcPr>
            <w:tcW w:w="30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Georgiy Nikitin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GEORGIY NIKITIN, CHIEF COMPLIANCE OFFICER</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3140" w:type="dxa"/>
        <w:jc w:val="left"/>
        <w:tblInd w:w="0" w:type="dxa"/>
        <w:tblLayout w:type="fixed"/>
        <w:tblCellMar>
          <w:top w:w="28" w:type="dxa"/>
          <w:left w:w="28" w:type="dxa"/>
          <w:bottom w:w="28" w:type="dxa"/>
          <w:right w:w="28" w:type="dxa"/>
        </w:tblCellMar>
      </w:tblPr>
      <w:tblGrid>
        <w:gridCol w:w="1570"/>
        <w:gridCol w:w="1570"/>
      </w:tblGrid>
      <w:tr>
        <w:trPr/>
        <w:tc>
          <w:tcPr>
            <w:tcW w:w="1570" w:type="dxa"/>
            <w:tcBorders/>
            <w:vAlign w:val="center"/>
          </w:tcPr>
          <w:p>
            <w:pPr>
              <w:pStyle w:val="TableContents"/>
              <w:bidi w:val="0"/>
              <w:spacing w:before="0" w:after="0"/>
              <w:jc w:val="left"/>
              <w:rPr/>
            </w:pPr>
            <w:r>
              <w:rPr/>
              <w:t> </w:t>
            </w:r>
          </w:p>
          <w:tbl>
            <w:tblPr>
              <w:tblW w:w="1441" w:type="dxa"/>
              <w:jc w:val="left"/>
              <w:tblInd w:w="0" w:type="dxa"/>
              <w:tblLayout w:type="fixed"/>
              <w:tblCellMar>
                <w:top w:w="28" w:type="dxa"/>
                <w:left w:w="28" w:type="dxa"/>
                <w:bottom w:w="28" w:type="dxa"/>
                <w:right w:w="28" w:type="dxa"/>
              </w:tblCellMar>
            </w:tblPr>
            <w:tblGrid>
              <w:gridCol w:w="1441"/>
            </w:tblGrid>
            <w:tr>
              <w:trPr/>
              <w:tc>
                <w:tcPr>
                  <w:tcW w:w="1441" w:type="dxa"/>
                  <w:tcBorders/>
                  <w:vAlign w:val="center"/>
                </w:tcPr>
                <w:p>
                  <w:pPr>
                    <w:pStyle w:val="TableContents"/>
                    <w:bidi w:val="0"/>
                    <w:spacing w:before="0" w:after="0"/>
                    <w:jc w:val="left"/>
                    <w:rPr/>
                  </w:pPr>
                  <w:r>
                    <w:rPr/>
                    <w:t>BIP GP LLC</w:t>
                  </w:r>
                </w:p>
              </w:tc>
            </w:tr>
          </w:tbl>
          <w:p>
            <w:pPr>
              <w:pStyle w:val="TableContents"/>
              <w:bidi w:val="0"/>
              <w:spacing w:before="0" w:after="283"/>
              <w:jc w:val="left"/>
              <w:rPr/>
            </w:pPr>
            <w:r>
              <w:rPr/>
            </w:r>
          </w:p>
        </w:tc>
        <w:tc>
          <w:tcPr>
            <w:tcW w:w="15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Georgiy Nikitin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GEORGIY NIKITIN, CHIEF COMPLIANCE OFFICER</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WAM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7"/>
        <w:gridCol w:w="4088"/>
      </w:tblGrid>
      <w:tr>
        <w:trPr/>
        <w:tc>
          <w:tcPr>
            <w:tcW w:w="61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2"/>
              <w:gridCol w:w="9053"/>
            </w:tblGrid>
            <w:tr>
              <w:trPr/>
              <w:tc>
                <w:tcPr>
                  <w:tcW w:w="1152" w:type="dxa"/>
                  <w:tcBorders/>
                  <w:vAlign w:val="center"/>
                </w:tcPr>
                <w:p>
                  <w:pPr>
                    <w:pStyle w:val="TableContents"/>
                    <w:bidi w:val="0"/>
                    <w:spacing w:before="0" w:after="283"/>
                    <w:jc w:val="left"/>
                    <w:rPr/>
                  </w:pPr>
                  <w:r>
                    <w:rPr/>
                    <w:t>Signature:</w:t>
                  </w:r>
                </w:p>
              </w:tc>
              <w:tc>
                <w:tcPr>
                  <w:tcW w:w="9053" w:type="dxa"/>
                  <w:tcBorders/>
                  <w:vAlign w:val="center"/>
                </w:tcPr>
                <w:p>
                  <w:pPr>
                    <w:pStyle w:val="TableContents"/>
                    <w:bidi w:val="0"/>
                    <w:spacing w:before="0" w:after="283"/>
                    <w:jc w:val="left"/>
                    <w:rPr/>
                  </w:pPr>
                  <w:r>
                    <w:rPr/>
                    <w:t>Georgiy Nikitin</w:t>
                  </w:r>
                </w:p>
              </w:tc>
            </w:tr>
            <w:tr>
              <w:trPr/>
              <w:tc>
                <w:tcPr>
                  <w:tcW w:w="1152" w:type="dxa"/>
                  <w:tcBorders/>
                  <w:vAlign w:val="center"/>
                </w:tcPr>
                <w:p>
                  <w:pPr>
                    <w:pStyle w:val="TableContents"/>
                    <w:bidi w:val="0"/>
                    <w:spacing w:before="0" w:after="283"/>
                    <w:jc w:val="left"/>
                    <w:rPr/>
                  </w:pPr>
                  <w:r>
                    <w:rPr/>
                    <w:t>Name/Title:</w:t>
                  </w:r>
                </w:p>
              </w:tc>
              <w:tc>
                <w:tcPr>
                  <w:tcW w:w="9053" w:type="dxa"/>
                  <w:tcBorders/>
                  <w:vAlign w:val="center"/>
                </w:tcPr>
                <w:p>
                  <w:pPr>
                    <w:pStyle w:val="TableContents"/>
                    <w:bidi w:val="0"/>
                    <w:spacing w:before="0" w:after="283"/>
                    <w:jc w:val="left"/>
                    <w:rPr/>
                  </w:pPr>
                  <w:r>
                    <w:rPr/>
                    <w:t>GEORGIY NIKITIN, CHIEF COMPLIANCE OFFICER</w:t>
                  </w:r>
                </w:p>
              </w:tc>
            </w:tr>
            <w:tr>
              <w:trPr/>
              <w:tc>
                <w:tcPr>
                  <w:tcW w:w="1152" w:type="dxa"/>
                  <w:tcBorders/>
                  <w:vAlign w:val="center"/>
                </w:tcPr>
                <w:p>
                  <w:pPr>
                    <w:pStyle w:val="TableContents"/>
                    <w:bidi w:val="0"/>
                    <w:spacing w:before="0" w:after="283"/>
                    <w:jc w:val="left"/>
                    <w:rPr/>
                  </w:pPr>
                  <w:r>
                    <w:rPr/>
                    <w:t>Date:</w:t>
                  </w:r>
                </w:p>
              </w:tc>
              <w:tc>
                <w:tcPr>
                  <w:tcW w:w="9053"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088" w:type="dxa"/>
            <w:tcBorders/>
            <w:vAlign w:val="center"/>
          </w:tcPr>
          <w:p>
            <w:pPr>
              <w:pStyle w:val="TableContents"/>
              <w:bidi w:val="0"/>
              <w:spacing w:before="0" w:after="283"/>
              <w:jc w:val="left"/>
              <w:rPr>
                <w:sz w:val="4"/>
                <w:szCs w:val="4"/>
              </w:rPr>
            </w:pPr>
            <w:r>
              <w:rPr>
                <w:sz w:val="4"/>
                <w:szCs w:val="4"/>
              </w:rPr>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Andrew M. Weiss</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Georgiy Nikitin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GEORGIY NIKITIN, ATTORNEY-IN-FACT FOR ANDREW M. WEISS**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09/25/2026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 Duly authorized under Power of Attorney incorporated herein by reference to the exhibit to the Form 13G/A filed by Weiss Asset Management LP on January 25, 2017 in respect of its holding in Quinpario Acquisition Corp. 2.</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1356</Words>
  <Characters>6676</Characters>
  <CharactersWithSpaces>7919</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