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638d1_8k.htm"/>
      <w:bookmarkStart w:id="1" w:name="kstm2622638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4_edei--DocumentType_c20260810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Pursuant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August 10, 2026</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THERAVANCE BIOPHARMA,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245" w:type="dxa"/>
        <w:jc w:val="left"/>
        <w:tblInd w:w="0" w:type="dxa"/>
        <w:tblLayout w:type="fixed"/>
        <w:tblCellMar>
          <w:top w:w="0" w:type="dxa"/>
          <w:left w:w="0" w:type="dxa"/>
          <w:bottom w:w="0" w:type="dxa"/>
          <w:right w:w="0" w:type="dxa"/>
        </w:tblCellMar>
      </w:tblPr>
      <w:tblGrid>
        <w:gridCol w:w="2405"/>
        <w:gridCol w:w="60"/>
        <w:gridCol w:w="2210"/>
        <w:gridCol w:w="60"/>
        <w:gridCol w:w="2510"/>
      </w:tblGrid>
      <w:tr>
        <w:trPr/>
        <w:tc>
          <w:tcPr>
            <w:tcW w:w="2405" w:type="dxa"/>
            <w:tcBorders/>
            <w:vAlign w:val="center"/>
          </w:tcPr>
          <w:p>
            <w:pPr>
              <w:pStyle w:val="TableContents"/>
              <w:bidi w:val="0"/>
              <w:spacing w:before="0" w:after="283"/>
              <w:jc w:val="center"/>
              <w:rPr>
                <w:rFonts w:ascii="Times New Roman;Times;Serif" w:hAnsi="Times New Roman;Times;Serif"/>
                <w:b/>
                <w:sz w:val="20"/>
              </w:rPr>
            </w:pPr>
            <w:bookmarkStart w:id="5" w:name="xdx_90A_edei--EntityIncorporationStateCo"/>
            <w:bookmarkEnd w:id="5"/>
            <w:r>
              <w:rPr>
                <w:rFonts w:ascii="Times New Roman;Times;Serif" w:hAnsi="Times New Roman;Times;Serif"/>
                <w:b/>
                <w:sz w:val="20"/>
              </w:rPr>
              <w:t>Cayman Islands</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b/>
              </w:rPr>
            </w:pPr>
            <w:bookmarkStart w:id="6" w:name="xdx_903_edei--EntityFileNumber_c20260810"/>
            <w:bookmarkEnd w:id="6"/>
            <w:r>
              <w:rPr>
                <w:b/>
              </w:rPr>
              <w:t>001-36033</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b/>
              </w:rPr>
            </w:pPr>
            <w:bookmarkStart w:id="7" w:name="xdx_906_edei--EntityTaxIdentificationNum"/>
            <w:bookmarkEnd w:id="7"/>
            <w:r>
              <w:rPr>
                <w:b/>
              </w:rPr>
              <w:t>98-1226628</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w:t>
            </w:r>
          </w:p>
        </w:tc>
      </w:tr>
      <w:tr>
        <w:trPr/>
        <w:tc>
          <w:tcPr>
            <w:tcW w:w="24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w:t>
            </w:r>
          </w:p>
        </w:tc>
        <w:tc>
          <w:tcPr>
            <w:tcW w:w="6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sz w:val="20"/>
              </w:rPr>
            </w:pPr>
            <w:r>
              <w:rPr>
                <w:sz w:val="20"/>
              </w:rPr>
              <w:t>Number)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c/o Theravance Biopharma US, LLC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D_edei--EntityAddressAddressLine2_"/>
      <w:bookmarkEnd w:id="9"/>
      <w:r>
        <w:rPr>
          <w:rFonts w:ascii="Times New Roman;Times;Serif" w:hAnsi="Times New Roman;Times;Serif"/>
          <w:b/>
          <w:i w:val="false"/>
          <w:caps w:val="false"/>
          <w:smallCaps w:val="false"/>
          <w:sz w:val="20"/>
        </w:rPr>
        <w:t>901 Gateway Boulevard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0_edei--EntityAddressCityOrTown_c2"/>
      <w:bookmarkEnd w:id="10"/>
      <w:r>
        <w:rPr>
          <w:rFonts w:ascii="Times New Roman;Times;Serif" w:hAnsi="Times New Roman;Times;Serif"/>
          <w:b/>
          <w:i w:val="false"/>
          <w:caps w:val="false"/>
          <w:smallCaps w:val="false"/>
          <w:sz w:val="20"/>
        </w:rPr>
        <w:t xml:space="preserve">South San Francisco, </w:t>
      </w:r>
      <w:bookmarkStart w:id="11" w:name="xdx_902_edei--EntityAddressCountry_c2026"/>
      <w:bookmarkEnd w:id="11"/>
      <w:r>
        <w:rPr>
          <w:rFonts w:ascii="Times New Roman;Times;Serif" w:hAnsi="Times New Roman;Times;Serif"/>
          <w:b/>
          <w:i w:val="false"/>
          <w:caps w:val="false"/>
          <w:smallCaps w:val="false"/>
          <w:sz w:val="20"/>
        </w:rPr>
        <w:t>CA</w:t>
      </w:r>
      <w:r>
        <w:rPr>
          <w:rFonts w:ascii="Times New Roman;Times;Serif" w:hAnsi="Times New Roman;Times;Serif"/>
          <w:b w:val="false"/>
          <w:i w:val="false"/>
          <w:caps w:val="false"/>
          <w:smallCaps w:val="false"/>
          <w:sz w:val="20"/>
        </w:rPr>
        <w:t xml:space="preserve"> </w:t>
      </w:r>
      <w:bookmarkStart w:id="12" w:name="xdx_902_edei--EntityAddressPostalZipCode"/>
      <w:bookmarkEnd w:id="12"/>
      <w:r>
        <w:rPr>
          <w:rFonts w:ascii="Times New Roman;Times;Serif" w:hAnsi="Times New Roman;Times;Serif"/>
          <w:b/>
          <w:i w:val="false"/>
          <w:caps w:val="false"/>
          <w:smallCaps w:val="false"/>
          <w:sz w:val="20"/>
        </w:rPr>
        <w:t>94080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2_edei--CityAreaCode_c20260810__20"/>
      <w:bookmarkEnd w:id="13"/>
      <w:r>
        <w:rPr>
          <w:rFonts w:ascii="Times New Roman;Times;Serif" w:hAnsi="Times New Roman;Times;Serif"/>
          <w:b/>
          <w:i w:val="false"/>
          <w:caps w:val="false"/>
          <w:smallCaps w:val="false"/>
          <w:sz w:val="20"/>
        </w:rPr>
        <w:t xml:space="preserve">650) </w:t>
      </w:r>
      <w:bookmarkStart w:id="14" w:name="xdx_907_edei--LocalPhoneNumber_c20260810"/>
      <w:bookmarkEnd w:id="14"/>
      <w:r>
        <w:rPr>
          <w:rFonts w:ascii="Times New Roman;Times;Serif" w:hAnsi="Times New Roman;Times;Serif"/>
          <w:b/>
          <w:i w:val="false"/>
          <w:caps w:val="false"/>
          <w:smallCaps w:val="false"/>
          <w:sz w:val="20"/>
        </w:rPr>
        <w:t>808-6000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(Addresses, including zip code, and telephone numbers, including area code, of principal executive offices)</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xdx_90B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bookmarkStart w:id="16" w:name="xdx_904_edei--SolicitingMaterial_c202608"/>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bookmarkStart w:id="17" w:name="xdx_906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bookmarkStart w:id="18" w:name="xdx_909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5880" w:type="dxa"/>
        <w:jc w:val="left"/>
        <w:tblInd w:w="0" w:type="dxa"/>
        <w:tblLayout w:type="fixed"/>
        <w:tblCellMar>
          <w:top w:w="0" w:type="dxa"/>
          <w:left w:w="0" w:type="dxa"/>
          <w:bottom w:w="28" w:type="dxa"/>
          <w:right w:w="0" w:type="dxa"/>
        </w:tblCellMar>
      </w:tblPr>
      <w:tblGrid>
        <w:gridCol w:w="2885"/>
        <w:gridCol w:w="60"/>
        <w:gridCol w:w="845"/>
        <w:gridCol w:w="60"/>
        <w:gridCol w:w="2030"/>
      </w:tblGrid>
      <w:tr>
        <w:trPr/>
        <w:tc>
          <w:tcPr>
            <w:tcW w:w="288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w:t>
              <w:br/>
              <w:t>on which registered</w:t>
            </w:r>
          </w:p>
        </w:tc>
      </w:tr>
      <w:tr>
        <w:trPr/>
        <w:tc>
          <w:tcPr>
            <w:tcW w:w="288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1_edei--Security12bTitle_c20260810"/>
            <w:bookmarkEnd w:id="19"/>
            <w:r>
              <w:rPr>
                <w:rFonts w:ascii="Times New Roman;Times;Serif" w:hAnsi="Times New Roman;Times;Serif"/>
                <w:sz w:val="20"/>
              </w:rPr>
              <w:t>Ordinary Share $0.00001 Par Value</w:t>
            </w:r>
          </w:p>
        </w:tc>
        <w:tc>
          <w:tcPr>
            <w:tcW w:w="60" w:type="dxa"/>
            <w:tcBorders/>
            <w:tcMar>
              <w:bottom w:w="0" w:type="dxa"/>
            </w:tcMar>
            <w:vAlign w:val="center"/>
          </w:tcPr>
          <w:p>
            <w:pPr>
              <w:pStyle w:val="TableContents"/>
              <w:bidi w:val="0"/>
              <w:spacing w:before="0" w:after="283"/>
              <w:jc w:val="left"/>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B_edei--TradingSymbol_c20260810__2"/>
            <w:bookmarkEnd w:id="20"/>
            <w:r>
              <w:rPr>
                <w:rFonts w:ascii="Times New Roman;Times;Serif" w:hAnsi="Times New Roman;Times;Serif"/>
                <w:sz w:val="20"/>
              </w:rPr>
              <w:t>TBPH</w:t>
            </w:r>
          </w:p>
        </w:tc>
        <w:tc>
          <w:tcPr>
            <w:tcW w:w="60" w:type="dxa"/>
            <w:tcBorders/>
            <w:tcMar>
              <w:bottom w:w="0" w:type="dxa"/>
            </w:tcMar>
            <w:vAlign w:val="center"/>
          </w:tcPr>
          <w:p>
            <w:pPr>
              <w:pStyle w:val="TableContents"/>
              <w:bidi w:val="0"/>
              <w:spacing w:before="0" w:after="283"/>
              <w:jc w:val="left"/>
              <w:rPr/>
            </w:pPr>
            <w:r>
              <w:rPr/>
              <w:t> </w:t>
            </w:r>
          </w:p>
        </w:tc>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5_edei--SecurityExchangeName_c2026"/>
            <w:bookmarkEnd w:id="21"/>
            <w:r>
              <w:rPr>
                <w:rFonts w:ascii="Times New Roman;Times;Serif" w:hAnsi="Times New Roman;Times;Serif"/>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sz w:val="20"/>
        </w:rPr>
      </w:pPr>
      <w:r>
        <w:rPr>
          <w:rFonts w:ascii="Times New Roman;Times;Serif" w:hAnsi="Times New Roman;Times;Serif"/>
          <w:sz w:val="20"/>
        </w:rPr>
        <w:t>Emerging growth company    </w:t>
      </w:r>
      <w:bookmarkStart w:id="22" w:name="xdx_902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Theravance Biopharma, Inc. (the “Company”) issued a press release regarding its financial results for the quarter ended June 30, 2026, and a business update. A copy of the press release is furnished as Exhibit 99.1 to this 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2.02 and in Item 9.01 of this Current Report on Form 8-K, including Exhibit 99.1, is being furnished and shall not be deemed “filed” for the purposes of Section 18 of the Securities Exchange Act of 1934, as amended (the “Securities Exchange Act of 1934”), or otherwise subject to the liabilities of that Section, nor shall it be incorporated by reference in any filing under the Securities Act of 1933, as amended, or the Securities Exchange Act of 1934, except as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395"/>
        <w:gridCol w:w="8360"/>
      </w:tblGrid>
      <w:tr>
        <w:trPr/>
        <w:tc>
          <w:tcPr>
            <w:tcW w:w="395" w:type="dxa"/>
            <w:tcBorders/>
            <w:vAlign w:val="center"/>
          </w:tcPr>
          <w:p>
            <w:pPr>
              <w:pStyle w:val="TableContents"/>
              <w:bidi w:val="0"/>
              <w:spacing w:before="0" w:after="283"/>
              <w:jc w:val="left"/>
              <w:rPr/>
            </w:pPr>
            <w:hyperlink w:anchor="tm2622638d1_ex99-1.htm">
              <w:r>
                <w:rPr>
                  <w:rStyle w:val="InternetLink"/>
                  <w:rFonts w:ascii="Times New Roman;Times;Serif" w:hAnsi="Times New Roman;Times;Serif"/>
                  <w:b w:val="false"/>
                  <w:i w:val="false"/>
                  <w:caps w:val="false"/>
                  <w:smallCaps w:val="false"/>
                  <w:sz w:val="20"/>
                </w:rPr>
                <w:t>99.1</w:t>
              </w:r>
            </w:hyperlink>
          </w:p>
        </w:tc>
        <w:tc>
          <w:tcPr>
            <w:tcW w:w="8360" w:type="dxa"/>
            <w:tcBorders/>
            <w:vAlign w:val="center"/>
          </w:tcPr>
          <w:p>
            <w:pPr>
              <w:pStyle w:val="TableContents"/>
              <w:bidi w:val="0"/>
              <w:spacing w:before="0" w:after="283"/>
              <w:jc w:val="left"/>
              <w:rPr/>
            </w:pPr>
            <w:hyperlink w:anchor="tm2622638d1_ex99-1.htm">
              <w:r>
                <w:rPr>
                  <w:rStyle w:val="InternetLink"/>
                  <w:rFonts w:ascii="Times New Roman;Times;Serif" w:hAnsi="Times New Roman;Times;Serif"/>
                  <w:b w:val="false"/>
                  <w:i w:val="false"/>
                  <w:caps w:val="false"/>
                  <w:smallCaps w:val="false"/>
                  <w:sz w:val="20"/>
                </w:rPr>
                <w:t>Press Release dated August 10, 2026</w:t>
              </w:r>
            </w:hyperlink>
          </w:p>
        </w:tc>
      </w:tr>
      <w:tr>
        <w:trPr/>
        <w:tc>
          <w:tcPr>
            <w:tcW w:w="3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8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(cover page XBRL tags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49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1865"/>
        <w:gridCol w:w="320"/>
        <w:gridCol w:w="4025"/>
      </w:tblGrid>
      <w:tr>
        <w:trPr/>
        <w:tc>
          <w:tcPr>
            <w:tcW w:w="18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sz w:val="20"/>
              </w:rPr>
            </w:pPr>
            <w:r>
              <w:rPr>
                <w:b/>
                <w:sz w:val="20"/>
              </w:rPr>
              <w:t>THERAVANCE BIOPHARMA, INC.</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Date: August 10, 2026</w:t>
            </w:r>
          </w:p>
        </w:tc>
        <w:tc>
          <w:tcPr>
            <w:tcW w:w="320" w:type="dxa"/>
            <w:tcBorders/>
            <w:vAlign w:val="center"/>
          </w:tcPr>
          <w:p>
            <w:pPr>
              <w:pStyle w:val="TableContents"/>
              <w:bidi w:val="0"/>
              <w:spacing w:before="0" w:after="283"/>
              <w:jc w:val="left"/>
              <w:rPr>
                <w:sz w:val="20"/>
              </w:rPr>
            </w:pPr>
            <w:r>
              <w:rPr>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pPr>
            <w:r>
              <w:rPr/>
              <w:t>/s/ Aziz Sawaf</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Aziz Sawaf</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tm2622638d1_ex99-1.htm"/>
      <w:bookmarkStart w:id="24" w:name="kstm2622638d1_ex991"/>
      <w:bookmarkEnd w:id="23"/>
      <w:bookmarkEnd w:id="24"/>
      <w:r>
        <w:rPr>
          <w:b/>
        </w:rPr>
        <w:t>Exhibit 99.1</w:t>
      </w:r>
      <w:r>
        <w:br w:type="page"/>
      </w:r>
    </w:p>
    <w:p>
      <w:pPr>
        <w:pStyle w:val="TextBody"/>
        <w:bidi w:val="0"/>
        <w:spacing w:before="0" w:after="283"/>
        <w:jc w:val="left"/>
        <w:rPr/>
      </w:pPr>
      <w:r>
        <w:rPr/>
        <w:t> </w:t>
      </w:r>
    </w:p>
    <w:p>
      <w:pPr>
        <w:pStyle w:val="TextBody"/>
        <w:bidi w:val="0"/>
        <w:spacing w:before="0" w:after="283"/>
        <w:jc w:val="left"/>
        <w:rPr/>
      </w:pPr>
      <w:r>
        <w:rPr/>
        <w:drawing>
          <wp:inline distT="0" distB="0" distL="0" distR="0">
            <wp:extent cx="181038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0385" cy="4572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 Reports Second Quarter 2026 Financial Results and Provides Corporate Update</w:t>
      </w:r>
    </w:p>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i/>
              </w:rPr>
            </w:pPr>
            <w:r>
              <w:rPr>
                <w:i/>
              </w:rPr>
              <w:t>Previously announced acquisition by Zymeworks expected to close in second half of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i/>
              </w:rPr>
            </w:pPr>
            <w:r>
              <w:rPr>
                <w:i/>
              </w:rPr>
              <w:t>YUPELRI</w:t>
            </w:r>
            <w:r>
              <w:rPr>
                <w:i/>
                <w:position w:val="8"/>
                <w:sz w:val="19"/>
              </w:rPr>
              <w:t>®</w:t>
            </w:r>
            <w:r>
              <w:rPr>
                <w:i/>
              </w:rPr>
              <w:t xml:space="preserve"> Collaboration Revenue increased 11% year-over-year</w:t>
            </w:r>
            <w:r>
              <w:rPr>
                <w:rFonts w:ascii="Times New Roman;Times;Serif" w:hAnsi="Times New Roman;Times;Serif"/>
                <w:b/>
                <w:i/>
                <w:position w:val="8"/>
                <w:sz w:val="19"/>
              </w:rPr>
              <w:t>1</w:t>
            </w:r>
            <w:r>
              <w:rPr>
                <w:i/>
              </w:rPr>
              <w:t>, from $18.7 million to $20.7 million, driven by continued Net Sales growth and improved operating leverage</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i/>
              </w:rPr>
            </w:pPr>
            <w:r>
              <w:rPr>
                <w:i/>
              </w:rPr>
              <w:t>Organizational restructuring and cost reduction initiatives delivered 35% reduction in operating expenses year-over-year (excluding restructuring and transaction costs)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i/>
              </w:rPr>
            </w:pPr>
            <w:r>
              <w:rPr>
                <w:i/>
              </w:rPr>
              <w:t>Q2 2026 TRELEGY net sales, reported by GSK, of approximately $1.0 billion; high confidence in achieving the $100 million 2026 milestone payment</w:t>
            </w:r>
            <w:r>
              <w:rPr>
                <w:rFonts w:ascii="Times New Roman;Times;Serif" w:hAnsi="Times New Roman;Times;Serif"/>
                <w:b/>
                <w:i/>
                <w:position w:val="7"/>
                <w:sz w:val="16"/>
                <w:sz w:val="20"/>
              </w:rPr>
              <w:t>2</w:t>
            </w:r>
          </w:p>
        </w:tc>
      </w:tr>
    </w:tbl>
    <w:tbl>
      <w:tblPr>
        <w:tblW w:w="5000" w:type="pct"/>
        <w:jc w:val="left"/>
        <w:tblInd w:w="0" w:type="dxa"/>
        <w:tblLayout w:type="fixed"/>
        <w:tblCellMar>
          <w:top w:w="0" w:type="dxa"/>
          <w:left w:w="0" w:type="dxa"/>
          <w:bottom w:w="0" w:type="dxa"/>
          <w:right w:w="0" w:type="dxa"/>
        </w:tblCellMar>
      </w:tblPr>
      <w:tblGrid>
        <w:gridCol w:w="72"/>
        <w:gridCol w:w="237"/>
        <w:gridCol w:w="9896"/>
      </w:tblGrid>
      <w:tr>
        <w:trPr/>
        <w:tc>
          <w:tcPr>
            <w:tcW w:w="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6" w:type="dxa"/>
            <w:tcBorders/>
            <w:vAlign w:val="center"/>
          </w:tcPr>
          <w:p>
            <w:pPr>
              <w:pStyle w:val="TableContents"/>
              <w:bidi w:val="0"/>
              <w:spacing w:before="0" w:after="283"/>
              <w:jc w:val="left"/>
              <w:rPr>
                <w:rFonts w:ascii="Times New Roman;Times;Serif" w:hAnsi="Times New Roman;Times;Serif"/>
                <w:i/>
              </w:rPr>
            </w:pPr>
            <w:r>
              <w:rPr>
                <w:rFonts w:ascii="Times New Roman;Times;Serif" w:hAnsi="Times New Roman;Times;Serif"/>
                <w:i/>
              </w:rPr>
              <w:t>Quarter-end cash balance of $388 million and no debt</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DUBLIN, IRELAND – AUGUST 10, 2026 </w:t>
      </w:r>
      <w:r>
        <w:rPr>
          <w:rFonts w:ascii="Times New Roman;Times;Serif" w:hAnsi="Times New Roman;Times;Serif"/>
          <w:b w:val="false"/>
          <w:i w:val="false"/>
          <w:caps w:val="false"/>
          <w:smallCaps w:val="false"/>
          <w:sz w:val="20"/>
        </w:rPr>
        <w:t>– Theravance Biopharma, Inc. (“Theravance Biopharma” or the “Company”) (NASDAQ: TBPH) today reported financial and operational results for the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During the second quarter, we entered into a definitive agreement to be acquired by Zymeworks, marking the culmination of a comprehensive strategic review process and what we believe achieves the greatest value for Theravance Biopharma shareholders,” said Rick E Winningham, Chief Executive Officer of Theravance Biopharma. “At the same time, YUPELRI</w:t>
      </w:r>
      <w:r>
        <w:rPr>
          <w:rFonts w:ascii="Times New Roman;Times;Serif" w:hAnsi="Times New Roman;Times;Serif"/>
          <w:b w:val="false"/>
          <w:i/>
          <w:caps w:val="false"/>
          <w:smallCaps w:val="false"/>
          <w:position w:val="7"/>
          <w:sz w:val="16"/>
          <w:sz w:val="20"/>
        </w:rPr>
        <w:t>®</w:t>
      </w:r>
      <w:r>
        <w:rPr>
          <w:rFonts w:ascii="Times New Roman;Times;Serif" w:hAnsi="Times New Roman;Times;Serif"/>
          <w:b w:val="false"/>
          <w:i/>
          <w:caps w:val="false"/>
          <w:smallCaps w:val="false"/>
          <w:sz w:val="20"/>
        </w:rPr>
        <w:t xml:space="preserve"> delivered another strong quarter, underscoring the durability and value of our core commercial asset and the continued execution of our collaboration with Viatris. We continued to execute well against our restructuring plan and expect to close the Zymeworks transaction in the second half of 2026 subject to shareholder approval and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Pending Acquisition by Zymeworks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following a comprehensive strategic alternatives review process conducted by the Company's Strategic Review Committee and Board of Directors, Theravance Biopharma announced that it had entered into a definitive agreement pursuant to which Zymeworks Inc. will acquire the Company for $17.00 per share in cash, plus a contingent value right (CVR) entitling shareholders to 80% of net proceeds realized from any future license, divestiture or other monetization of ampreloxetine over the next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close in the second half of 2026, subject to approval by Theravance Biopharma shareholders and satisfaction of other customary 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 the U.S., Viatris is leading the commercialization of YUPELRI, and the Company co-promotes the product under a profit and loss sharing arrangement (65% to Viatris; 35% to the Company).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Payment from Royalty Pharma (RP) will be triggered if RP receives certain minimum royalty payments from GSK based on TRELEGY global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1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10385" cy="4572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10385"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(revefenacin) inhalation solution, the first and only once-daily, nebulized LAMA (long-acting muscarinic antagonist) bronchodilator approved in the U.S. for the maintenance treatment of patients with chronic obstructive pulmonary disease (COPD):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Quarterly U.S. net sales of $70.7 million, recognized by Viatris, in Q2 2026, increasing 7% year-over-year (YoY) (Q2 2026 vs Q2 2025)</w:t>
            </w:r>
            <w:r>
              <w:rPr>
                <w:rFonts w:ascii="Times New Roman;Times;Serif" w:hAnsi="Times New Roman;Times;Serif"/>
                <w:position w:val="8"/>
                <w:sz w:val="19"/>
              </w:rPr>
              <w:t xml:space="preserve">1 </w:t>
            </w:r>
            <w:r>
              <w:rPr>
                <w:rFonts w:ascii="Times New Roman;Times;Serif" w:hAnsi="Times New Roman;Times;Serif"/>
              </w:rPr>
              <w:t>driven by customer demand growth of 10% YoY (Q2 2026 vs Q2 2025).</w:t>
            </w:r>
            <w:r>
              <w:rPr>
                <w:rFonts w:ascii="Times New Roman;Times;Serif" w:hAnsi="Times New Roman;Times;Serif"/>
                <w:position w:val="7"/>
                <w:sz w:val="16"/>
                <w:sz w:val="20"/>
              </w:rPr>
              <w:t>3</w:t>
            </w:r>
          </w:p>
        </w:tc>
      </w:tr>
    </w:tbl>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Increased doses pulled through the hospital channel by 25% YoY (Q2 2026 vs Q2 2025), reflecting another excellent quarter of growth.</w:t>
            </w:r>
            <w:r>
              <w:rPr>
                <w:rFonts w:ascii="Times New Roman;Times;Serif" w:hAnsi="Times New Roman;Times;Serif"/>
                <w:position w:val="7"/>
                <w:sz w:val="16"/>
                <w:sz w:val="20"/>
              </w:rPr>
              <w:t>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TRELEGY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GSK reported second quarter 2026 global net sales of approximately $1.0 billion and year-to-date net sales of approximately $1.9 billion</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FY 2025 global net sales of approximately $3.9 billion triggered a $50M milestone payment from Royalty Pharma, with cash received in February 2026.</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FY 2026 global net sales of ~$3.5 billion required to trigger an additional $100M milestone payment from Royalty Pharma.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Organizational Restructuring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Following the announcement of the Company’s Phase 3 CYPRESS results in March 2026, Theravance Biopharma has made substantial progress on its organizational restructuring.</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As an indicator of this progress, operating expenses (excluding restructuring and transaction costs) decreased 35% year-over-year in Q2 2026 compared to Q2 2025, with additional reductions expected in 2H 2026.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The restructuring is expected to reduce operating expenses by approximately 60%, relative to 2025 actuals of $111.1 million. The full run-rate cost savings of approximately $70 million are expected to materialize in the second half of 2026. This is expected to result in approximately $60 - $70 million of annualized cash flow (excluding restructuring and transaction costs), with the benefit expected to be realized beginning in the second half of 2026.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Financial Results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Revenue:</w:t>
            </w:r>
            <w:r>
              <w:rPr>
                <w:rFonts w:ascii="Times New Roman;Times;Serif" w:hAnsi="Times New Roman;Times;Serif"/>
              </w:rPr>
              <w:t xml:space="preserve"> Total revenue for the second quarter of 2026 was $20.7 million, consisting entirely of Viatris collaboration revenue. Viatris collaboration revenue increased by $2.0 million, or 11%, in the second quarter compared to the same period in 2025. The Viatris collaboration revenue represents amounts receivable from Viatris and comprises the Company’s 35% share of net sales of YUPELRI, as well as its proportionate amount of the total shared commercial costs incurred by the two companies. The non-shared YUPELRI costs incurred by Theravance Biopharma are recorded within operating expenses. While Viatris records the total net sales of YUPELRI within its financial statements, Theravance Biopharma’s implied 35% share of net sales of YUPELRI for the second quarter of 2026 was $24.7 million which represented a 7% increase compared to the same period in 2025.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ind w:left="360" w:right="0" w:hanging="0"/>
        <w:jc w:val="left"/>
        <w:rPr>
          <w:bdr w:val="single" w:sz="8" w:space="1" w:color="000000"/>
        </w:rPr>
      </w:pPr>
      <w:r>
        <w:rPr>
          <w:bdr w:val="single" w:sz="8" w:space="1" w:color="000000"/>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Source: Viatris Customer Demand (Q2’26).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Source: IQVIA DDD, HDS, VA and Non-Reporting Hospital through Jun ’26.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GSK-reported Net Sales in USD.</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360" w:right="0" w:hanging="0"/>
        <w:jc w:val="center"/>
        <w:rPr>
          <w:sz w:val="20"/>
          <w:bdr w:val="single" w:sz="8" w:space="1" w:color="000000"/>
        </w:rPr>
      </w:pPr>
      <w:r>
        <w:rPr>
          <w:sz w:val="20"/>
          <w:bdr w:val="single" w:sz="8" w:space="1" w:color="000000"/>
        </w:rPr>
        <w:t>Page 2 of 9</w:t>
      </w:r>
    </w:p>
    <w:p>
      <w:pPr>
        <w:pStyle w:val="TextBody"/>
        <w:bidi w:val="0"/>
        <w:spacing w:before="0" w:after="0"/>
        <w:ind w:left="0" w:right="0" w:hanging="0"/>
        <w:jc w:val="left"/>
        <w:rPr/>
      </w:pPr>
      <w:r>
        <w:rPr/>
        <w:t> </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drawing>
          <wp:inline distT="0" distB="0" distL="0" distR="0">
            <wp:extent cx="1810385"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810385" cy="457200"/>
                    </a:xfrm>
                    <a:prstGeom prst="rect">
                      <a:avLst/>
                    </a:prstGeom>
                  </pic:spPr>
                </pic:pic>
              </a:graphicData>
            </a:graphic>
          </wp:inline>
        </w:drawing>
      </w:r>
      <w:r>
        <w:rPr>
          <w:caps w:val="false"/>
          <w:smallCaps w:val="false"/>
        </w:rPr>
        <w:t> </w:t>
      </w:r>
    </w:p>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Research and Development (R&amp;D) Expenses: </w:t>
            </w:r>
            <w:r>
              <w:rPr/>
              <w:t>R&amp;D expenses for the second quarter of 2026 were $4.7 million, compared to $10.5 million in the same period in 2025. The reduction was driven by the corporate restructuring announced in March 2026 and the ongoing wind-down of the CYPRESS clinical trial. Second quarter R&amp;D expenses included total non-cash share-based compensation of $0.6 million.</w:t>
            </w:r>
          </w:p>
        </w:tc>
      </w:tr>
    </w:tbl>
    <w:p>
      <w:pPr>
        <w:pStyle w:val="TextBody"/>
        <w:bidi w:val="0"/>
        <w:spacing w:before="0" w:after="0"/>
        <w:ind w:left="36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b/>
              </w:rPr>
              <w:t xml:space="preserve">Selling, General and Administrative (SG&amp;A) Expenses: </w:t>
            </w:r>
            <w:r>
              <w:rPr/>
              <w:t>SG&amp;A expenses for the second quarter of 2026 were $14.2 million, compared to $18.4 million in the same period in 2025. The reduction was primarily driven by the corporate restructuring announced in March 2026. Second quarter SG&amp;A expenses included total non-cash share-based compensation of $3.6 million.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Restructuring Expenses: </w:t>
            </w:r>
            <w:r>
              <w:rPr/>
              <w:t>Restructuring expenses for the second quarter of 2026 were $4.0 million and were comprised of severance costs and termination-related benefits. Cash restructuring expenses were $2.2 million and non-cash restructuring expenses were $1.8 million.</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b/>
              </w:rPr>
              <w:t xml:space="preserve">Transaction-Related Expenses: </w:t>
            </w:r>
            <w:r>
              <w:rPr/>
              <w:t>Transaction-related expenses associated with the pending acquisition by Zymeworks were $6.1 million in the second quarter of 2026 and were related to legal and financial advisory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Share-Based Compensation: </w:t>
            </w:r>
            <w:r>
              <w:rPr>
                <w:rFonts w:ascii="Times New Roman;Times;Serif" w:hAnsi="Times New Roman;Times;Serif"/>
              </w:rPr>
              <w:t xml:space="preserve">Total share-based compensation expenses for the second quarter of 2026 were $6.0 million which included restructuring-related share-based compensation expenses. Excluding restructuring-related expenses, share-based compensation was $4.1 million, compared to $4.5 million in the same period in 2025. Share-based compensation expenses for the second quarter of 2026 consisted of $0.6 million for R&amp;D, $3.6 million for SG&amp;A, and $1.8 million related to the restructuring.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Net Loss: </w:t>
            </w:r>
            <w:r>
              <w:rPr>
                <w:rFonts w:ascii="Times New Roman;Times;Serif" w:hAnsi="Times New Roman;Times;Serif"/>
              </w:rPr>
              <w:t>Net loss was $5.9 million in the second quarter of 2026 compared to net income of $54.8 million in the same period in 2025. The second quarter of 2025 net income was primarily due to a $75.1 million net gain on contingent milestone and royalty assets (representing the sale of our remaining interest in TRELEGY royalties in June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3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10385"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810385"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Non-GAAP Net Income (Loss) from Operations</w:t>
            </w:r>
            <w:r>
              <w:rPr>
                <w:rFonts w:ascii="Times New Roman;Times;Serif" w:hAnsi="Times New Roman;Times;Serif"/>
                <w:b/>
                <w:position w:val="7"/>
                <w:sz w:val="16"/>
                <w:sz w:val="20"/>
              </w:rPr>
              <w:t>6</w:t>
            </w:r>
            <w:r>
              <w:rPr>
                <w:rFonts w:ascii="Times New Roman;Times;Serif" w:hAnsi="Times New Roman;Times;Serif"/>
              </w:rPr>
              <w:t>: Non-GAAP net income from operations was $9.5 million in the second quarter of 2026 compared to a non-GAAP net loss from operations of $4.2 million in the same period in 2025. See the section titled "Non-GAAP Financial Measures" for more information.</w:t>
            </w:r>
          </w:p>
        </w:tc>
      </w:tr>
    </w:tbl>
    <w:p>
      <w:pPr>
        <w:pStyle w:val="TextBody"/>
        <w:bidi w:val="0"/>
        <w:spacing w:before="0" w:after="0"/>
        <w:ind w:left="36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 xml:space="preserve">Cash Position: </w:t>
            </w:r>
            <w:r>
              <w:rPr>
                <w:rFonts w:ascii="Times New Roman;Times;Serif" w:hAnsi="Times New Roman;Times;Serif"/>
              </w:rPr>
              <w:t xml:space="preserve">Cash, cash equivalents and marketable securities totaled $387.7 million as of June 30, 2026.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29"/>
        <w:gridCol w:w="10037"/>
      </w:tblGrid>
      <w:tr>
        <w:trPr/>
        <w:tc>
          <w:tcPr>
            <w:tcW w:w="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rPr>
            </w:pPr>
            <w:r>
              <w:rPr>
                <w:rFonts w:ascii="Symbol" w:hAnsi="Symbol"/>
              </w:rPr>
              <w:t>·</w:t>
            </w:r>
          </w:p>
        </w:tc>
        <w:tc>
          <w:tcPr>
            <w:tcW w:w="1003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Shares Outstanding</w:t>
            </w:r>
            <w:r>
              <w:rPr>
                <w:rFonts w:ascii="Times New Roman;Times;Serif" w:hAnsi="Times New Roman;Times;Serif"/>
              </w:rPr>
              <w:t>: The Company had 51,890,754 ordinary shares outstanding as of June 30, 2026.</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Conference Call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Earnings results are being released via press release only. The Company will not host a conference call or webcast to discuss quarterly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Theravance Biopharma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Theravance Biopharma, Inc.’s focus is to deliver </w:t>
      </w:r>
      <w:r>
        <w:rPr>
          <w:rFonts w:ascii="Times New Roman;Times;Serif" w:hAnsi="Times New Roman;Times;Serif"/>
          <w:b w:val="false"/>
          <w:i/>
          <w:caps w:val="false"/>
          <w:smallCaps w:val="false"/>
          <w:sz w:val="20"/>
        </w:rPr>
        <w:t>Medicines that Make a Difference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people’s lives. In pursuit of its purpose, Theravance Biopharma leverages decades of expertise, which has led to the development of FDA-approved 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(revefenacin) inhalation solution indicated for the maintenance treatment of patients with chronic obstructive pulmonary disease (COPD). The Company is committed to creating/driving shareholder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www.theravance.com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THERAVANCE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and the Cross/Star logo are registered trademarks of the Theravance Biopharma group of companies (in the U.S. and certain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YUPELRI</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is a registered trademark of Viatris Specialty LLC. Trademarks, trade names or service marks of other companies appearing on this press release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Non-GAAP profit (loss) consists of GAAP net income (loss) before taxes less (i) share-based compensation expense, (ii) non-cash interest expense, and (iii) non-recurring revenue and income (expense) items. See the section titled "Non-GAAP Financial Measures" 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4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10385"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10385"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certain “forward-looking” statements as that term is defined in the Private Securities Litigation Reform Act of 1995 regarding, among other things, statements relating to goals, plans, objectives, expectations and future events. Theravance Biopharma, Inc. (the “Company”) intends such forward-looking statements to be covered by the safe harbor provisions for forward-looking statements contained in Section 21E of the Securities Exchange Act of 1934, as amended, and the Private Securities Litigation Reform Act of 1995. Examples of such statements include statements relating to: the Company’s expectations regarding its future profitability, expenses and uses of cash, the Company’s goals, designs, strategies, plans and objectives, future growth of YUPELRI sales and future royalty payments, the winddown of the Company’s ampreloxetine program and the restructuring, the ability to provide value to shareholders, the Company’s regulatory strategies, and contingent milestone payments due to the Company from the sale of the Company’s TRELEGY royalty interests. These statements are based on the current estimates and assumptions of the management of Theravance Biopharma as of the date of this press release and are subject to risks, uncertainties, changes in circumstances, assumptions and other factors that may cause the actual results of Theravance Biopharma to be materially different from those reflected in the forward-looking statements. Important factors that could cause actual results to differ materially from those indicated by such forward-looking statements include, among others, risks related to: the approval of the Company’s shareholders for the proposed transaction, which may be delayed or may not be obtained, when the contingent consideration under the CVR Agreement contemplated in connection with the proposed transaction will become payable, if at all, the risks inherent in the drug development process, including whether the development of the compound subject to the CVR Agreement contemplated in connection with the proposed transaction will be commercially successful, the risk that the expected benefits of the proposed transaction will not be realized, potential litigation relating to the proposed transaction that could be instituted against the Company or its directors or officers, including the effects of any outcomes related thereto, any competing offers or acquisition proposals for the Company, the possibility that various conditions to the consummation of the proposed transaction may not be satisfied or waived and unanticipated difficulties or expenditures relating to the proposed transaction, the response of business partners and competitors to the announcement of the proposed transaction, including with respect to the Company’s collaboration with Viatris, and/or potential difficulties in employee retention as a result of the announcement and pendency of the proposed transaction, risks related to potential restructuring activities in connection with the proposed transaction, including disruptions to the Company's recognition or utilization of certain tax attributes, factors that could increase the Company’s expenses beyond its expectations and any factors that could adversely affect its profitability, whether the TRELEGY milestone thresholds will be achieved, delays or difficulties in winding down clinical studies, risks of collaborating with or relying on third parties to develop, manufacture and commercialize products, and risks associated with establishing and maintaining sales, marketing and distribution capabilities with appropriate technical expertise and supporting infrastructure, the ability of the Company to protect and to enforce its intellectual property rights, volatility and fluctuations in the trading price and volume of the Company’s shares, and general economic and market conditions. Other risks affecting the Company are in the Company’s Form 10-Q filed with the SEC on May 7, 2026, and other periodic reports filed with the SEC. In addition to the risks described above and in Theravance Biopharma's filings with the SEC, other unknown or unpredictable factors also could affect Theravance Biopharma’s results. No forward-looking statements can be guaranteed, and actual results may differ materially from such statements. Given these uncertainties, you should not place undue reliance on these forward-looking statements. Theravance Biopharma assumes no obligation to update its forward-looking statements on account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5 of 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810385" cy="4572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10385" cy="4572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Theravance Biopharma provides a non-GAAP metric in this press release. Theravance Biopharma believes that non-GAAP net income (loss) provides meaningful information to assist investors in assessing prospects for future performance and actual performance as they provide better metrics for analyzing the performance of its business by excluding items that may not be indicative of core operating results and the Company's cash position. Because non-GAAP financial targets and metrics, such as non-GAAP net income (loss), are not standardized, it may not be possible to compare these measures with other companies' non-GAAP targets or measures having the same or a similar name. Thus, Theravance Biopharma's non-GAAP measures should be considered in addition to, not as a substitute for, or in isolation from, the Company's actual GAAP results and other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the appendix attached to this press release for a reconciliation of non-GAAP net income (loss) to its corresponding measure, net income (loss). A reconciliation of non-GAAP net income (loss) to its corresponding GAAP measure is not available on a forward-looking basis without unreasonable effort due to the uncertainty regarding, and the potential variability of, expenses and other factors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Contact:</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investor.relations@theravance.com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650-808-4045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6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10385"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810385"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left"/>
        <w:rPr>
          <w:caps w:val="false"/>
          <w:smallCaps w:val="false"/>
        </w:rPr>
      </w:pPr>
      <w:r>
        <w:rPr>
          <w:caps w:val="false"/>
          <w:smallCaps w:val="false"/>
        </w:rPr>
        <w:t> </w:t>
      </w:r>
    </w:p>
    <w:tbl>
      <w:tblPr>
        <w:tblW w:w="7714" w:type="dxa"/>
        <w:jc w:val="left"/>
        <w:tblInd w:w="0" w:type="dxa"/>
        <w:tblLayout w:type="fixed"/>
        <w:tblCellMar>
          <w:top w:w="0" w:type="dxa"/>
          <w:left w:w="0" w:type="dxa"/>
          <w:bottom w:w="0" w:type="dxa"/>
          <w:right w:w="0" w:type="dxa"/>
        </w:tblCellMar>
      </w:tblPr>
      <w:tblGrid>
        <w:gridCol w:w="5150"/>
        <w:gridCol w:w="60"/>
        <w:gridCol w:w="125"/>
        <w:gridCol w:w="1010"/>
        <w:gridCol w:w="60"/>
        <w:gridCol w:w="60"/>
        <w:gridCol w:w="178"/>
        <w:gridCol w:w="996"/>
        <w:gridCol w:w="75"/>
      </w:tblGrid>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center"/>
              <w:rPr>
                <w:b/>
                <w:sz w:val="20"/>
              </w:rPr>
            </w:pPr>
            <w:r>
              <w:rPr>
                <w:b/>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center"/>
              <w:rPr>
                <w:b/>
                <w:sz w:val="20"/>
              </w:rPr>
            </w:pPr>
            <w:r>
              <w:rPr>
                <w:b/>
                <w:sz w:val="20"/>
              </w:rPr>
              <w:t>December 31,</w:t>
            </w:r>
          </w:p>
        </w:tc>
        <w:tc>
          <w:tcPr>
            <w:tcW w:w="75"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51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sz w:val="20"/>
              </w:rPr>
            </w:pPr>
            <w:r>
              <w:rPr>
                <w:b/>
                <w:sz w:val="20"/>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center"/>
              <w:rPr>
                <w:b/>
                <w:sz w:val="20"/>
              </w:rPr>
            </w:pPr>
            <w:r>
              <w:rPr>
                <w:b/>
                <w:sz w:val="20"/>
              </w:rPr>
              <w:t>(1)</w:t>
            </w:r>
          </w:p>
        </w:tc>
        <w:tc>
          <w:tcPr>
            <w:tcW w:w="75" w:type="dxa"/>
            <w:tcBorders/>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Cash and cash equivalents and short-term marketable securities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010" w:type="dxa"/>
            <w:tcBorders/>
            <w:shd w:fill="CCEEFF" w:val="clear"/>
            <w:vAlign w:val="center"/>
          </w:tcPr>
          <w:p>
            <w:pPr>
              <w:pStyle w:val="TableContents"/>
              <w:bidi w:val="0"/>
              <w:spacing w:before="0" w:after="283"/>
              <w:jc w:val="right"/>
              <w:rPr>
                <w:sz w:val="20"/>
              </w:rPr>
            </w:pPr>
            <w:r>
              <w:rPr>
                <w:sz w:val="20"/>
              </w:rPr>
              <w:t>387,657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sz w:val="20"/>
              </w:rPr>
            </w:pPr>
            <w:r>
              <w:rPr>
                <w:sz w:val="20"/>
              </w:rPr>
              <w:t>$</w:t>
            </w:r>
          </w:p>
        </w:tc>
        <w:tc>
          <w:tcPr>
            <w:tcW w:w="996" w:type="dxa"/>
            <w:tcBorders/>
            <w:shd w:fill="CCEEFF" w:val="clear"/>
            <w:vAlign w:val="center"/>
          </w:tcPr>
          <w:p>
            <w:pPr>
              <w:pStyle w:val="TableContents"/>
              <w:bidi w:val="0"/>
              <w:spacing w:before="0" w:after="283"/>
              <w:jc w:val="right"/>
              <w:rPr>
                <w:sz w:val="20"/>
              </w:rPr>
            </w:pPr>
            <w:r>
              <w:rPr>
                <w:sz w:val="20"/>
              </w:rPr>
              <w:t>315,357</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Receivables from collaborative arrangements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20,381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45,539</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Receivables from milestone and royalty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50,000</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Other prepaid and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8,624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7,564</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416,662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418,460</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Long-term marketable securities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11,128</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5,169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5,895</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Operating lease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21,926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24,371</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Restricted cash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836</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25,177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24,880</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469,770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485,570</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b/>
                <w:sz w:val="20"/>
              </w:rPr>
            </w:pPr>
            <w:r>
              <w:rPr>
                <w:b/>
                <w:sz w:val="20"/>
              </w:rPr>
              <w:t>Liabilities and 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010" w:type="dxa"/>
            <w:tcBorders/>
            <w:shd w:fill="FFFFFF" w:val="clear"/>
            <w:vAlign w:val="center"/>
          </w:tcPr>
          <w:p>
            <w:pPr>
              <w:pStyle w:val="TableContents"/>
              <w:bidi w:val="0"/>
              <w:spacing w:before="0" w:after="283"/>
              <w:jc w:val="right"/>
              <w:rPr>
                <w:sz w:val="20"/>
              </w:rPr>
            </w:pPr>
            <w:r>
              <w:rPr>
                <w:sz w:val="20"/>
              </w:rPr>
              <w:t>30,766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sz w:val="20"/>
              </w:rPr>
            </w:pPr>
            <w:r>
              <w:rPr>
                <w:sz w:val="20"/>
              </w:rPr>
              <w:t>$</w:t>
            </w:r>
          </w:p>
        </w:tc>
        <w:tc>
          <w:tcPr>
            <w:tcW w:w="996" w:type="dxa"/>
            <w:tcBorders/>
            <w:shd w:fill="FFFFFF" w:val="clear"/>
            <w:vAlign w:val="center"/>
          </w:tcPr>
          <w:p>
            <w:pPr>
              <w:pStyle w:val="TableContents"/>
              <w:bidi w:val="0"/>
              <w:spacing w:before="0" w:after="283"/>
              <w:jc w:val="right"/>
              <w:rPr>
                <w:sz w:val="20"/>
              </w:rPr>
            </w:pPr>
            <w:r>
              <w:rPr>
                <w:sz w:val="20"/>
              </w:rPr>
              <w:t>38,302</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27,774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31,758</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Future royalty payment contingency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32,795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32,795</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Unrecognized tax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sz w:val="20"/>
              </w:rPr>
            </w:pPr>
            <w:r>
              <w:rPr>
                <w:sz w:val="20"/>
              </w:rPr>
              <w:t>88,486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sz w:val="20"/>
              </w:rPr>
            </w:pPr>
            <w:r>
              <w:rPr>
                <w:sz w:val="20"/>
              </w:rPr>
              <w:t>85,679</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sz w:val="20"/>
              </w:rPr>
            </w:pPr>
            <w:r>
              <w:rPr>
                <w:sz w:val="20"/>
              </w:rPr>
              <w:t>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sz w:val="20"/>
              </w:rPr>
            </w:pPr>
            <w:r>
              <w:rPr>
                <w:sz w:val="20"/>
              </w:rPr>
              <w:t>313</w:t>
            </w:r>
          </w:p>
        </w:tc>
        <w:tc>
          <w:tcPr>
            <w:tcW w:w="75" w:type="dxa"/>
            <w:tcBorders/>
            <w:shd w:fill="FFFFFF" w:val="clear"/>
            <w:vAlign w:val="center"/>
          </w:tcPr>
          <w:p>
            <w:pPr>
              <w:pStyle w:val="TableContents"/>
              <w:bidi w:val="0"/>
              <w:spacing w:before="0" w:after="283"/>
              <w:jc w:val="left"/>
              <w:rPr/>
            </w:pPr>
            <w:r>
              <w:rPr/>
              <w:t> </w:t>
            </w:r>
          </w:p>
        </w:tc>
      </w:tr>
      <w:tr>
        <w:trPr/>
        <w:tc>
          <w:tcPr>
            <w:tcW w:w="5150" w:type="dxa"/>
            <w:tcBorders/>
            <w:shd w:fill="CCEEFF" w:val="clear"/>
            <w:vAlign w:val="center"/>
          </w:tcPr>
          <w:p>
            <w:pPr>
              <w:pStyle w:val="TableContents"/>
              <w:bidi w:val="0"/>
              <w:spacing w:before="0" w:after="283"/>
              <w:jc w:val="left"/>
              <w:rPr>
                <w:sz w:val="20"/>
              </w:rPr>
            </w:pPr>
            <w:r>
              <w:rPr>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289,705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296,723</w:t>
            </w:r>
          </w:p>
        </w:tc>
        <w:tc>
          <w:tcPr>
            <w:tcW w:w="75" w:type="dxa"/>
            <w:tcBorders/>
            <w:shd w:fill="CCEEFF" w:val="clear"/>
            <w:vAlign w:val="center"/>
          </w:tcPr>
          <w:p>
            <w:pPr>
              <w:pStyle w:val="TableContents"/>
              <w:bidi w:val="0"/>
              <w:spacing w:before="0" w:after="283"/>
              <w:jc w:val="left"/>
              <w:rPr/>
            </w:pPr>
            <w:r>
              <w:rPr/>
              <w:t> </w:t>
            </w:r>
          </w:p>
        </w:tc>
      </w:tr>
      <w:tr>
        <w:trPr/>
        <w:tc>
          <w:tcPr>
            <w:tcW w:w="5150" w:type="dxa"/>
            <w:tcBorders/>
            <w:shd w:fill="FFFFFF" w:val="clear"/>
            <w:vAlign w:val="center"/>
          </w:tcPr>
          <w:p>
            <w:pPr>
              <w:pStyle w:val="TableContents"/>
              <w:bidi w:val="0"/>
              <w:spacing w:before="0" w:after="283"/>
              <w:jc w:val="left"/>
              <w:rPr>
                <w:sz w:val="20"/>
              </w:rPr>
            </w:pPr>
            <w:r>
              <w:rPr>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469,770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485,570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The condensed consolidated balance sheet as of December 31, 2025 has been derived from the audited consolidated financial statements included in the Company's Annual Report on Form 10-K for the year ended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Page 7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10385"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810385"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left"/>
        <w:rPr>
          <w:caps w:val="false"/>
          <w:smallCaps w:val="false"/>
        </w:rPr>
      </w:pPr>
      <w:r>
        <w:rPr>
          <w:caps w:val="false"/>
          <w:smallCaps w:val="false"/>
        </w:rPr>
        <w:t> </w:t>
      </w:r>
    </w:p>
    <w:tbl>
      <w:tblPr>
        <w:tblW w:w="10053" w:type="dxa"/>
        <w:jc w:val="left"/>
        <w:tblInd w:w="0" w:type="dxa"/>
        <w:tblLayout w:type="fixed"/>
        <w:tblCellMar>
          <w:top w:w="0" w:type="dxa"/>
          <w:left w:w="0" w:type="dxa"/>
          <w:bottom w:w="0" w:type="dxa"/>
          <w:right w:w="0" w:type="dxa"/>
        </w:tblCellMar>
      </w:tblPr>
      <w:tblGrid>
        <w:gridCol w:w="4925"/>
        <w:gridCol w:w="60"/>
        <w:gridCol w:w="194"/>
        <w:gridCol w:w="919"/>
        <w:gridCol w:w="124"/>
        <w:gridCol w:w="93"/>
        <w:gridCol w:w="194"/>
        <w:gridCol w:w="1012"/>
        <w:gridCol w:w="80"/>
        <w:gridCol w:w="60"/>
        <w:gridCol w:w="170"/>
        <w:gridCol w:w="884"/>
        <w:gridCol w:w="108"/>
        <w:gridCol w:w="81"/>
        <w:gridCol w:w="170"/>
        <w:gridCol w:w="884"/>
        <w:gridCol w:w="95"/>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9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24"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7" w:type="dxa"/>
            <w:gridSpan w:val="6"/>
            <w:tcBorders/>
            <w:vAlign w:val="center"/>
          </w:tcPr>
          <w:p>
            <w:pPr>
              <w:pStyle w:val="TableContents"/>
              <w:bidi w:val="0"/>
              <w:spacing w:before="0" w:after="283"/>
              <w:jc w:val="center"/>
              <w:rPr>
                <w:b/>
                <w:sz w:val="20"/>
              </w:rPr>
            </w:pPr>
            <w:r>
              <w:rPr>
                <w:b/>
                <w:sz w:val="20"/>
              </w:rPr>
              <w:t>(Unaudited)</w:t>
            </w:r>
          </w:p>
        </w:tc>
        <w:tc>
          <w:tcPr>
            <w:tcW w:w="95"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b/>
                <w:sz w:val="20"/>
              </w:rPr>
            </w:pPr>
            <w:r>
              <w:rPr>
                <w:b/>
                <w:sz w:val="20"/>
              </w:rPr>
              <w:t>Revenue:</w:t>
            </w:r>
          </w:p>
        </w:tc>
        <w:tc>
          <w:tcPr>
            <w:tcW w:w="60" w:type="dxa"/>
            <w:tcBorders/>
            <w:shd w:fill="CCEEFF" w:val="clear"/>
            <w:vAlign w:val="center"/>
          </w:tcPr>
          <w:p>
            <w:pPr>
              <w:pStyle w:val="TableContents"/>
              <w:bidi w:val="0"/>
              <w:spacing w:before="0" w:after="283"/>
              <w:jc w:val="left"/>
              <w:rPr/>
            </w:pPr>
            <w:r>
              <w:rPr/>
              <w:t> </w:t>
            </w:r>
          </w:p>
        </w:tc>
        <w:tc>
          <w:tcPr>
            <w:tcW w:w="1113" w:type="dxa"/>
            <w:gridSpan w:val="2"/>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206"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4" w:type="dxa"/>
            <w:gridSpan w:val="2"/>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5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Viatris collaboration agreement (1)</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sz w:val="20"/>
              </w:rPr>
            </w:pPr>
            <w:r>
              <w:rPr>
                <w:sz w:val="20"/>
              </w:rPr>
              <w:t>$</w:t>
            </w:r>
          </w:p>
        </w:tc>
        <w:tc>
          <w:tcPr>
            <w:tcW w:w="919" w:type="dxa"/>
            <w:tcBorders/>
            <w:shd w:fill="FFFFFF" w:val="clear"/>
            <w:vAlign w:val="center"/>
          </w:tcPr>
          <w:p>
            <w:pPr>
              <w:pStyle w:val="TableContents"/>
              <w:bidi w:val="0"/>
              <w:spacing w:before="0" w:after="283"/>
              <w:jc w:val="right"/>
              <w:rPr>
                <w:sz w:val="20"/>
              </w:rPr>
            </w:pPr>
            <w:r>
              <w:rPr>
                <w:sz w:val="20"/>
              </w:rPr>
              <w:t>20,731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sz w:val="20"/>
              </w:rPr>
            </w:pPr>
            <w:r>
              <w:rPr>
                <w:sz w:val="20"/>
              </w:rPr>
              <w:t>$</w:t>
            </w:r>
          </w:p>
        </w:tc>
        <w:tc>
          <w:tcPr>
            <w:tcW w:w="1012" w:type="dxa"/>
            <w:tcBorders/>
            <w:shd w:fill="FFFFFF" w:val="clear"/>
            <w:vAlign w:val="center"/>
          </w:tcPr>
          <w:p>
            <w:pPr>
              <w:pStyle w:val="TableContents"/>
              <w:bidi w:val="0"/>
              <w:spacing w:before="0" w:after="283"/>
              <w:jc w:val="right"/>
              <w:rPr>
                <w:sz w:val="20"/>
              </w:rPr>
            </w:pPr>
            <w:r>
              <w:rPr>
                <w:sz w:val="20"/>
              </w:rPr>
              <w:t>18,695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884" w:type="dxa"/>
            <w:tcBorders/>
            <w:shd w:fill="FFFFFF" w:val="clear"/>
            <w:vAlign w:val="center"/>
          </w:tcPr>
          <w:p>
            <w:pPr>
              <w:pStyle w:val="TableContents"/>
              <w:bidi w:val="0"/>
              <w:spacing w:before="0" w:after="283"/>
              <w:jc w:val="right"/>
              <w:rPr>
                <w:sz w:val="20"/>
              </w:rPr>
            </w:pPr>
            <w:r>
              <w:rPr>
                <w:sz w:val="20"/>
              </w:rPr>
              <w:t>38,430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sz w:val="20"/>
              </w:rPr>
            </w:pPr>
            <w:r>
              <w:rPr>
                <w:sz w:val="20"/>
              </w:rPr>
              <w:t>$</w:t>
            </w:r>
          </w:p>
        </w:tc>
        <w:tc>
          <w:tcPr>
            <w:tcW w:w="884" w:type="dxa"/>
            <w:tcBorders/>
            <w:shd w:fill="FFFFFF" w:val="clear"/>
            <w:vAlign w:val="center"/>
          </w:tcPr>
          <w:p>
            <w:pPr>
              <w:pStyle w:val="TableContents"/>
              <w:bidi w:val="0"/>
              <w:spacing w:before="0" w:after="283"/>
              <w:jc w:val="right"/>
              <w:rPr>
                <w:sz w:val="20"/>
              </w:rPr>
            </w:pPr>
            <w:r>
              <w:rPr>
                <w:sz w:val="20"/>
              </w:rPr>
              <w:t>34,083</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Licensing revenue</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7,500</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Total revenue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20,731</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26,195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38,430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41,583</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b/>
                <w:sz w:val="20"/>
              </w:rPr>
            </w:pPr>
            <w:r>
              <w:rPr>
                <w:b/>
                <w:sz w:val="20"/>
              </w:rPr>
              <w:t>Costs and expenses: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Research and development (2)</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20"/>
              </w:rPr>
            </w:pPr>
            <w:r>
              <w:rPr>
                <w:sz w:val="20"/>
              </w:rPr>
              <w:t>4,712</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10,490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10,541</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21,942</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Selling, general and administrative (2)</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14,176</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18,430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31,896</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36,800</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Restructuring expenses (2) (3)</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20"/>
              </w:rPr>
            </w:pPr>
            <w:r>
              <w:rPr>
                <w:sz w:val="20"/>
              </w:rPr>
              <w:t>4,031</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7,664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Transaction-related expenses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6,089</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6,089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Total costs and expenses</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29,008</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56,190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58,742</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b/>
                <w:sz w:val="20"/>
              </w:rPr>
            </w:pPr>
            <w:r>
              <w:rPr>
                <w:b/>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(8,277</w:t>
            </w:r>
          </w:p>
        </w:tc>
        <w:tc>
          <w:tcPr>
            <w:tcW w:w="124"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(2,725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(17,760</w:t>
            </w:r>
          </w:p>
        </w:tc>
        <w:tc>
          <w:tcPr>
            <w:tcW w:w="108" w:type="dxa"/>
            <w:tcBorders/>
            <w:shd w:fill="FFFFFF" w:val="clear"/>
            <w:vAlign w:val="center"/>
          </w:tcPr>
          <w:p>
            <w:pPr>
              <w:pStyle w:val="TableContents"/>
              <w:bidi w:val="0"/>
              <w:spacing w:before="0" w:after="283"/>
              <w:jc w:val="left"/>
              <w:rPr>
                <w:sz w:val="20"/>
              </w:rPr>
            </w:pPr>
            <w:r>
              <w:rPr>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(17,159</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925" w:type="dxa"/>
            <w:tcBorders/>
            <w:shd w:fill="CCEEFF" w:val="clear"/>
            <w:vAlign w:val="center"/>
          </w:tcPr>
          <w:p>
            <w:pPr>
              <w:pStyle w:val="TableContents"/>
              <w:bidi w:val="0"/>
              <w:spacing w:before="0" w:after="283"/>
              <w:jc w:val="left"/>
              <w:rPr>
                <w:sz w:val="20"/>
              </w:rPr>
            </w:pPr>
            <w:r>
              <w:rPr>
                <w:sz w:val="20"/>
              </w:rPr>
              <w:t>Net gain on realized contingent milestone and royalty assets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sz w:val="20"/>
              </w:rPr>
            </w:pPr>
            <w:r>
              <w:rPr>
                <w:sz w:val="20"/>
              </w:rPr>
              <w:t>-</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sz w:val="20"/>
              </w:rPr>
            </w:pPr>
            <w:r>
              <w:rPr>
                <w:sz w:val="20"/>
              </w:rPr>
              <w:t>75,137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sz w:val="20"/>
              </w:rPr>
            </w:pPr>
            <w:r>
              <w:rPr>
                <w:sz w:val="20"/>
              </w:rPr>
              <w:t>75,137</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Interest expense (non-cash)</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(663</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(1,306</w:t>
            </w:r>
          </w:p>
        </w:tc>
        <w:tc>
          <w:tcPr>
            <w:tcW w:w="95" w:type="dxa"/>
            <w:tcBorders/>
            <w:shd w:fill="FFFFFF" w:val="clear"/>
            <w:vAlign w:val="center"/>
          </w:tcPr>
          <w:p>
            <w:pPr>
              <w:pStyle w:val="TableContents"/>
              <w:bidi w:val="0"/>
              <w:spacing w:before="0" w:after="283"/>
              <w:jc w:val="left"/>
              <w:rPr>
                <w:sz w:val="20"/>
              </w:rPr>
            </w:pPr>
            <w:r>
              <w:rPr>
                <w:sz w:val="20"/>
              </w:rPr>
              <w:t>)</w:t>
            </w:r>
          </w:p>
        </w:tc>
      </w:tr>
      <w:tr>
        <w:trPr/>
        <w:tc>
          <w:tcPr>
            <w:tcW w:w="4925" w:type="dxa"/>
            <w:tcBorders/>
            <w:shd w:fill="CCEEFF" w:val="clear"/>
            <w:vAlign w:val="center"/>
          </w:tcPr>
          <w:p>
            <w:pPr>
              <w:pStyle w:val="TableContents"/>
              <w:bidi w:val="0"/>
              <w:spacing w:before="0" w:after="283"/>
              <w:jc w:val="left"/>
              <w:rPr>
                <w:sz w:val="20"/>
              </w:rPr>
            </w:pPr>
            <w:r>
              <w:rPr>
                <w:sz w:val="20"/>
              </w:rPr>
              <w:t>Interest income and other income, net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3,486</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1,457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6,499</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2,396</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(4,791</w:t>
            </w:r>
          </w:p>
        </w:tc>
        <w:tc>
          <w:tcPr>
            <w:tcW w:w="124"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sz w:val="20"/>
              </w:rPr>
            </w:pPr>
            <w:r>
              <w:rPr>
                <w:sz w:val="20"/>
              </w:rPr>
              <w:t>73,206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(11,261</w:t>
            </w:r>
          </w:p>
        </w:tc>
        <w:tc>
          <w:tcPr>
            <w:tcW w:w="108" w:type="dxa"/>
            <w:tcBorders/>
            <w:shd w:fill="FFFFFF" w:val="clear"/>
            <w:vAlign w:val="center"/>
          </w:tcPr>
          <w:p>
            <w:pPr>
              <w:pStyle w:val="TableContents"/>
              <w:bidi w:val="0"/>
              <w:spacing w:before="0" w:after="283"/>
              <w:jc w:val="left"/>
              <w:rPr>
                <w:sz w:val="20"/>
              </w:rPr>
            </w:pPr>
            <w:r>
              <w:rPr>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sz w:val="20"/>
              </w:rPr>
            </w:pPr>
            <w:r>
              <w:rPr>
                <w:sz w:val="20"/>
              </w:rPr>
              <w:t>59,068</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Provision for income tax (expense) benefit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(1,107</w:t>
            </w:r>
          </w:p>
        </w:tc>
        <w:tc>
          <w:tcPr>
            <w:tcW w:w="124" w:type="dxa"/>
            <w:tcBorders/>
            <w:shd w:fill="CCEEFF" w:val="clear"/>
            <w:vAlign w:val="center"/>
          </w:tcPr>
          <w:p>
            <w:pPr>
              <w:pStyle w:val="TableContents"/>
              <w:bidi w:val="0"/>
              <w:spacing w:before="0" w:after="283"/>
              <w:jc w:val="left"/>
              <w:rPr>
                <w:sz w:val="20"/>
              </w:rPr>
            </w:pPr>
            <w:r>
              <w:rPr>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(18,371</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430</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(17,812</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925" w:type="dxa"/>
            <w:tcBorders/>
            <w:shd w:fill="FFFFFF" w:val="clear"/>
            <w:vAlign w:val="center"/>
          </w:tcPr>
          <w:p>
            <w:pPr>
              <w:pStyle w:val="TableContents"/>
              <w:bidi w:val="0"/>
              <w:spacing w:before="0" w:after="283"/>
              <w:jc w:val="left"/>
              <w:rPr>
                <w:b/>
                <w:sz w:val="20"/>
              </w:rPr>
            </w:pPr>
            <w:r>
              <w:rPr>
                <w:b/>
                <w:sz w:val="20"/>
              </w:rPr>
              <w:t>Net income (loss)</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(5,898</w:t>
            </w:r>
          </w:p>
        </w:tc>
        <w:tc>
          <w:tcPr>
            <w:tcW w:w="124" w:type="dxa"/>
            <w:tcBorders/>
            <w:shd w:fill="FFFFFF" w:val="clear"/>
            <w:vAlign w:val="center"/>
          </w:tcPr>
          <w:p>
            <w:pPr>
              <w:pStyle w:val="TableContents"/>
              <w:bidi w:val="0"/>
              <w:spacing w:before="0" w:after="283"/>
              <w:jc w:val="left"/>
              <w:rPr>
                <w:b/>
                <w:sz w:val="20"/>
              </w:rPr>
            </w:pPr>
            <w:r>
              <w:rPr>
                <w:b/>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54,835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(10,831</w:t>
            </w:r>
          </w:p>
        </w:tc>
        <w:tc>
          <w:tcPr>
            <w:tcW w:w="108" w:type="dxa"/>
            <w:tcBorders/>
            <w:shd w:fill="FFFFFF" w:val="clear"/>
            <w:vAlign w:val="center"/>
          </w:tcPr>
          <w:p>
            <w:pPr>
              <w:pStyle w:val="TableContents"/>
              <w:bidi w:val="0"/>
              <w:spacing w:before="0" w:after="283"/>
              <w:jc w:val="left"/>
              <w:rPr>
                <w:b/>
                <w:sz w:val="20"/>
              </w:rPr>
            </w:pPr>
            <w:r>
              <w:rPr>
                <w:b/>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41,256</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Net income (loss) per share:</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Net income (loss) per share - basic</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(0.11</w:t>
            </w:r>
          </w:p>
        </w:tc>
        <w:tc>
          <w:tcPr>
            <w:tcW w:w="124" w:type="dxa"/>
            <w:tcBorders/>
            <w:shd w:fill="CCEEFF" w:val="clear"/>
            <w:vAlign w:val="center"/>
          </w:tcPr>
          <w:p>
            <w:pPr>
              <w:pStyle w:val="TableContents"/>
              <w:bidi w:val="0"/>
              <w:spacing w:before="0" w:after="283"/>
              <w:jc w:val="left"/>
              <w:rPr>
                <w:sz w:val="20"/>
              </w:rPr>
            </w:pPr>
            <w:r>
              <w:rPr>
                <w:sz w:val="20"/>
              </w:rPr>
              <w:t>)</w:t>
            </w:r>
          </w:p>
        </w:tc>
        <w:tc>
          <w:tcPr>
            <w:tcW w:w="93"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(0.21</w:t>
            </w:r>
          </w:p>
        </w:tc>
        <w:tc>
          <w:tcPr>
            <w:tcW w:w="108" w:type="dxa"/>
            <w:tcBorders/>
            <w:shd w:fill="CCEEFF" w:val="clear"/>
            <w:vAlign w:val="center"/>
          </w:tcPr>
          <w:p>
            <w:pPr>
              <w:pStyle w:val="TableContents"/>
              <w:bidi w:val="0"/>
              <w:spacing w:before="0" w:after="283"/>
              <w:jc w:val="left"/>
              <w:rPr>
                <w:sz w:val="20"/>
              </w:rPr>
            </w:pPr>
            <w:r>
              <w:rPr>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0.83</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Net income (loss) per share - diluted</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(0.11</w:t>
            </w:r>
          </w:p>
        </w:tc>
        <w:tc>
          <w:tcPr>
            <w:tcW w:w="124" w:type="dxa"/>
            <w:tcBorders/>
            <w:shd w:fill="FFFFFF" w:val="clear"/>
            <w:vAlign w:val="center"/>
          </w:tcPr>
          <w:p>
            <w:pPr>
              <w:pStyle w:val="TableContents"/>
              <w:bidi w:val="0"/>
              <w:spacing w:before="0" w:after="283"/>
              <w:jc w:val="left"/>
              <w:rPr>
                <w:sz w:val="20"/>
              </w:rPr>
            </w:pPr>
            <w:r>
              <w:rPr>
                <w:sz w:val="20"/>
              </w:rPr>
              <w:t>)</w:t>
            </w:r>
          </w:p>
        </w:tc>
        <w:tc>
          <w:tcPr>
            <w:tcW w:w="93"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(0.21</w:t>
            </w:r>
          </w:p>
        </w:tc>
        <w:tc>
          <w:tcPr>
            <w:tcW w:w="108" w:type="dxa"/>
            <w:tcBorders/>
            <w:shd w:fill="FFFFFF" w:val="clear"/>
            <w:vAlign w:val="center"/>
          </w:tcPr>
          <w:p>
            <w:pPr>
              <w:pStyle w:val="TableContents"/>
              <w:bidi w:val="0"/>
              <w:spacing w:before="0" w:after="283"/>
              <w:jc w:val="left"/>
              <w:rPr>
                <w:sz w:val="20"/>
              </w:rPr>
            </w:pPr>
            <w:r>
              <w:rPr>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0.81</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sz w:val="20"/>
              </w:rPr>
            </w:pPr>
            <w:r>
              <w:rPr>
                <w:sz w:val="20"/>
              </w:rPr>
              <w:t>Shares used to compute net income (loss) per share - basic</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51,667</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50,177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51,474</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8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49,943</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sz w:val="20"/>
              </w:rPr>
            </w:pPr>
            <w:r>
              <w:rPr>
                <w:sz w:val="20"/>
              </w:rPr>
              <w:t>Shares used to compute net income (loss) per share - diluted</w:t>
            </w:r>
          </w:p>
        </w:tc>
        <w:tc>
          <w:tcPr>
            <w:tcW w:w="60"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51,667</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50,726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51,474</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84"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50,685</w:t>
            </w:r>
          </w:p>
        </w:tc>
        <w:tc>
          <w:tcPr>
            <w:tcW w:w="95"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24"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b/>
                <w:sz w:val="20"/>
              </w:rPr>
            </w:pPr>
            <w:r>
              <w:rPr>
                <w:b/>
                <w:sz w:val="20"/>
              </w:rPr>
              <w:t>Non-GAAP net income (loss)</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b/>
                <w:sz w:val="20"/>
              </w:rPr>
            </w:pPr>
            <w:r>
              <w:rPr>
                <w:b/>
                <w:sz w:val="20"/>
              </w:rPr>
              <w:t>$</w:t>
            </w:r>
          </w:p>
        </w:tc>
        <w:tc>
          <w:tcPr>
            <w:tcW w:w="919" w:type="dxa"/>
            <w:tcBorders/>
            <w:shd w:fill="CCEEFF" w:val="clear"/>
            <w:vAlign w:val="center"/>
          </w:tcPr>
          <w:p>
            <w:pPr>
              <w:pStyle w:val="TableContents"/>
              <w:bidi w:val="0"/>
              <w:spacing w:before="0" w:after="283"/>
              <w:jc w:val="right"/>
              <w:rPr>
                <w:b/>
                <w:sz w:val="20"/>
              </w:rPr>
            </w:pPr>
            <w:r>
              <w:rPr>
                <w:b/>
                <w:sz w:val="20"/>
              </w:rPr>
              <w:t>9,467</w:t>
            </w:r>
          </w:p>
        </w:tc>
        <w:tc>
          <w:tcPr>
            <w:tcW w:w="124"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b/>
                <w:sz w:val="20"/>
              </w:rPr>
            </w:pPr>
            <w:r>
              <w:rPr>
                <w:b/>
                <w:sz w:val="20"/>
              </w:rPr>
              <w:t>$</w:t>
            </w:r>
          </w:p>
        </w:tc>
        <w:tc>
          <w:tcPr>
            <w:tcW w:w="1012" w:type="dxa"/>
            <w:tcBorders/>
            <w:shd w:fill="CCEEFF" w:val="clear"/>
            <w:vAlign w:val="center"/>
          </w:tcPr>
          <w:p>
            <w:pPr>
              <w:pStyle w:val="TableContents"/>
              <w:bidi w:val="0"/>
              <w:spacing w:before="0" w:after="283"/>
              <w:jc w:val="right"/>
              <w:rPr>
                <w:b/>
                <w:sz w:val="20"/>
              </w:rPr>
            </w:pPr>
            <w:r>
              <w:rPr>
                <w:b/>
                <w:sz w:val="20"/>
              </w:rPr>
              <w:t>(4,225</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sz w:val="20"/>
              </w:rPr>
            </w:pPr>
            <w:r>
              <w:rPr>
                <w:b/>
                <w:sz w:val="20"/>
              </w:rPr>
              <w:t>$</w:t>
            </w:r>
          </w:p>
        </w:tc>
        <w:tc>
          <w:tcPr>
            <w:tcW w:w="884" w:type="dxa"/>
            <w:tcBorders/>
            <w:shd w:fill="CCEEFF" w:val="clear"/>
            <w:vAlign w:val="center"/>
          </w:tcPr>
          <w:p>
            <w:pPr>
              <w:pStyle w:val="TableContents"/>
              <w:bidi w:val="0"/>
              <w:spacing w:before="0" w:after="283"/>
              <w:jc w:val="right"/>
              <w:rPr>
                <w:b/>
                <w:sz w:val="20"/>
              </w:rPr>
            </w:pPr>
            <w:r>
              <w:rPr>
                <w:b/>
                <w:sz w:val="20"/>
              </w:rPr>
              <w:t>10,106</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b/>
                <w:sz w:val="20"/>
              </w:rPr>
            </w:pPr>
            <w:r>
              <w:rPr>
                <w:b/>
                <w:sz w:val="20"/>
              </w:rPr>
              <w:t>$</w:t>
            </w:r>
          </w:p>
        </w:tc>
        <w:tc>
          <w:tcPr>
            <w:tcW w:w="884" w:type="dxa"/>
            <w:tcBorders/>
            <w:shd w:fill="CCEEFF" w:val="clear"/>
            <w:vAlign w:val="center"/>
          </w:tcPr>
          <w:p>
            <w:pPr>
              <w:pStyle w:val="TableContents"/>
              <w:bidi w:val="0"/>
              <w:spacing w:before="0" w:after="283"/>
              <w:jc w:val="right"/>
              <w:rPr>
                <w:b/>
                <w:sz w:val="20"/>
              </w:rPr>
            </w:pPr>
            <w:r>
              <w:rPr>
                <w:b/>
                <w:sz w:val="20"/>
              </w:rPr>
              <w:t>(12,843</w:t>
            </w:r>
          </w:p>
        </w:tc>
        <w:tc>
          <w:tcPr>
            <w:tcW w:w="95" w:type="dxa"/>
            <w:tcBorders/>
            <w:shd w:fill="CCEE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While Viatris, Inc. records the total YUPELRI net sales, the Company is entitled to a 35% share of the net profit (loss) pursuant to a co-promotion agreement with Viatris as presented below:</w:t>
      </w:r>
    </w:p>
    <w:p>
      <w:pPr>
        <w:pStyle w:val="TextBody"/>
        <w:bidi w:val="0"/>
        <w:spacing w:before="0" w:after="0"/>
        <w:jc w:val="left"/>
        <w:rPr>
          <w:caps w:val="false"/>
          <w:smallCaps w:val="false"/>
        </w:rPr>
      </w:pPr>
      <w:r>
        <w:rPr>
          <w:caps w:val="false"/>
          <w:smallCaps w:val="false"/>
        </w:rPr>
        <w:t> </w:t>
      </w:r>
    </w:p>
    <w:tbl>
      <w:tblPr>
        <w:tblW w:w="9819" w:type="dxa"/>
        <w:jc w:val="left"/>
        <w:tblInd w:w="0" w:type="dxa"/>
        <w:tblLayout w:type="fixed"/>
        <w:tblCellMar>
          <w:top w:w="0" w:type="dxa"/>
          <w:left w:w="0" w:type="dxa"/>
          <w:bottom w:w="0" w:type="dxa"/>
          <w:right w:w="0" w:type="dxa"/>
        </w:tblCellMar>
      </w:tblPr>
      <w:tblGrid>
        <w:gridCol w:w="4730"/>
        <w:gridCol w:w="60"/>
        <w:gridCol w:w="204"/>
        <w:gridCol w:w="966"/>
        <w:gridCol w:w="98"/>
        <w:gridCol w:w="98"/>
        <w:gridCol w:w="204"/>
        <w:gridCol w:w="966"/>
        <w:gridCol w:w="60"/>
        <w:gridCol w:w="60"/>
        <w:gridCol w:w="163"/>
        <w:gridCol w:w="908"/>
        <w:gridCol w:w="78"/>
        <w:gridCol w:w="78"/>
        <w:gridCol w:w="163"/>
        <w:gridCol w:w="908"/>
        <w:gridCol w:w="75"/>
      </w:tblGrid>
      <w:tr>
        <w:trPr/>
        <w:tc>
          <w:tcPr>
            <w:tcW w:w="4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75" w:type="dxa"/>
            <w:tcBorders/>
            <w:vAlign w:val="center"/>
          </w:tcPr>
          <w:p>
            <w:pPr>
              <w:pStyle w:val="TableContents"/>
              <w:bidi w:val="0"/>
              <w:spacing w:before="0" w:after="283"/>
              <w:jc w:val="left"/>
              <w:rPr/>
            </w:pPr>
            <w:r>
              <w:rPr/>
              <w:t> </w:t>
            </w:r>
          </w:p>
        </w:tc>
      </w:tr>
      <w:tr>
        <w:trPr/>
        <w:tc>
          <w:tcPr>
            <w:tcW w:w="473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(In thousands)</w:t>
            </w:r>
          </w:p>
        </w:tc>
        <w:tc>
          <w:tcPr>
            <w:tcW w:w="60" w:type="dxa"/>
            <w:tcBorders/>
            <w:vAlign w:val="center"/>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8"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1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7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sz w:val="20"/>
              </w:rPr>
            </w:pPr>
            <w:r>
              <w:rPr>
                <w:sz w:val="20"/>
              </w:rPr>
              <w:t>YUPELRI net sales (100% recorded by Viatris)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20"/>
              </w:rPr>
            </w:pPr>
            <w:r>
              <w:rPr>
                <w:sz w:val="20"/>
              </w:rPr>
              <w:t>$</w:t>
            </w:r>
          </w:p>
        </w:tc>
        <w:tc>
          <w:tcPr>
            <w:tcW w:w="966" w:type="dxa"/>
            <w:tcBorders/>
            <w:shd w:fill="CCEEFF" w:val="clear"/>
            <w:vAlign w:val="center"/>
          </w:tcPr>
          <w:p>
            <w:pPr>
              <w:pStyle w:val="TableContents"/>
              <w:bidi w:val="0"/>
              <w:spacing w:before="0" w:after="283"/>
              <w:jc w:val="right"/>
              <w:rPr>
                <w:sz w:val="20"/>
              </w:rPr>
            </w:pPr>
            <w:r>
              <w:rPr>
                <w:sz w:val="20"/>
              </w:rPr>
              <w:t>70,666</w:t>
            </w:r>
          </w:p>
        </w:tc>
        <w:tc>
          <w:tcPr>
            <w:tcW w:w="98"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20"/>
              </w:rPr>
            </w:pPr>
            <w:r>
              <w:rPr>
                <w:sz w:val="20"/>
              </w:rPr>
              <w:t>$</w:t>
            </w:r>
          </w:p>
        </w:tc>
        <w:tc>
          <w:tcPr>
            <w:tcW w:w="966" w:type="dxa"/>
            <w:tcBorders/>
            <w:shd w:fill="CCEEFF" w:val="clear"/>
            <w:vAlign w:val="center"/>
          </w:tcPr>
          <w:p>
            <w:pPr>
              <w:pStyle w:val="TableContents"/>
              <w:bidi w:val="0"/>
              <w:spacing w:before="0" w:after="283"/>
              <w:jc w:val="right"/>
              <w:rPr>
                <w:sz w:val="20"/>
              </w:rPr>
            </w:pPr>
            <w:r>
              <w:rPr>
                <w:sz w:val="20"/>
              </w:rPr>
              <w:t>66,330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908" w:type="dxa"/>
            <w:tcBorders/>
            <w:shd w:fill="CCEEFF" w:val="clear"/>
            <w:vAlign w:val="center"/>
          </w:tcPr>
          <w:p>
            <w:pPr>
              <w:pStyle w:val="TableContents"/>
              <w:bidi w:val="0"/>
              <w:spacing w:before="0" w:after="283"/>
              <w:jc w:val="right"/>
              <w:rPr>
                <w:sz w:val="20"/>
              </w:rPr>
            </w:pPr>
            <w:r>
              <w:rPr>
                <w:sz w:val="20"/>
              </w:rPr>
              <w:t>133,097</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sz w:val="20"/>
              </w:rPr>
            </w:pPr>
            <w:r>
              <w:rPr>
                <w:sz w:val="20"/>
              </w:rPr>
              <w:t>$</w:t>
            </w:r>
          </w:p>
        </w:tc>
        <w:tc>
          <w:tcPr>
            <w:tcW w:w="908" w:type="dxa"/>
            <w:tcBorders/>
            <w:shd w:fill="CCEEFF" w:val="clear"/>
            <w:vAlign w:val="center"/>
          </w:tcPr>
          <w:p>
            <w:pPr>
              <w:pStyle w:val="TableContents"/>
              <w:bidi w:val="0"/>
              <w:spacing w:before="0" w:after="283"/>
              <w:jc w:val="right"/>
              <w:rPr>
                <w:sz w:val="20"/>
              </w:rPr>
            </w:pPr>
            <w:r>
              <w:rPr>
                <w:sz w:val="20"/>
              </w:rPr>
              <w:t>124,674</w:t>
            </w:r>
          </w:p>
        </w:tc>
        <w:tc>
          <w:tcPr>
            <w:tcW w:w="75" w:type="dxa"/>
            <w:tcBorders/>
            <w:shd w:fill="CCEEFF" w:val="clear"/>
            <w:vAlign w:val="center"/>
          </w:tcPr>
          <w:p>
            <w:pPr>
              <w:pStyle w:val="TableContents"/>
              <w:bidi w:val="0"/>
              <w:spacing w:before="0" w:after="283"/>
              <w:jc w:val="left"/>
              <w:rPr/>
            </w:pPr>
            <w:r>
              <w:rPr/>
              <w:t> </w:t>
            </w:r>
          </w:p>
        </w:tc>
      </w:tr>
      <w:tr>
        <w:trPr/>
        <w:tc>
          <w:tcPr>
            <w:tcW w:w="4730" w:type="dxa"/>
            <w:tcBorders/>
            <w:shd w:fill="FFFFFF" w:val="clear"/>
            <w:vAlign w:val="center"/>
          </w:tcPr>
          <w:p>
            <w:pPr>
              <w:pStyle w:val="TableContents"/>
              <w:bidi w:val="0"/>
              <w:spacing w:before="0" w:after="283"/>
              <w:jc w:val="left"/>
              <w:rPr>
                <w:sz w:val="20"/>
              </w:rPr>
            </w:pPr>
            <w:r>
              <w:rPr>
                <w:sz w:val="20"/>
              </w:rPr>
              <w:t>YUPELRI net sales (Theravance Biopharma implied 35%)</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24,733</w:t>
            </w:r>
          </w:p>
        </w:tc>
        <w:tc>
          <w:tcPr>
            <w:tcW w:w="98" w:type="dxa"/>
            <w:tcBorders/>
            <w:shd w:fill="FFFFFF" w:val="clear"/>
            <w:vAlign w:val="center"/>
          </w:tcPr>
          <w:p>
            <w:pPr>
              <w:pStyle w:val="TableContents"/>
              <w:bidi w:val="0"/>
              <w:spacing w:before="0" w:after="283"/>
              <w:jc w:val="left"/>
              <w:rPr/>
            </w:pPr>
            <w:r>
              <w:rPr/>
              <w:t> </w:t>
            </w:r>
          </w:p>
        </w:tc>
        <w:tc>
          <w:tcPr>
            <w:tcW w:w="98"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23,216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sz w:val="20"/>
              </w:rPr>
            </w:pPr>
            <w:r>
              <w:rPr>
                <w:sz w:val="20"/>
              </w:rPr>
              <w:t>46,584</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sz w:val="20"/>
              </w:rPr>
            </w:pPr>
            <w:r>
              <w:rPr>
                <w:sz w:val="20"/>
              </w:rPr>
              <w:t>43,636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Amounts include share-based compensation expense as follows:</w:t>
      </w:r>
    </w:p>
    <w:p>
      <w:pPr>
        <w:pStyle w:val="TextBody"/>
        <w:bidi w:val="0"/>
        <w:spacing w:before="0" w:after="0"/>
        <w:jc w:val="left"/>
        <w:rPr>
          <w:caps w:val="false"/>
          <w:smallCaps w:val="false"/>
        </w:rPr>
      </w:pPr>
      <w:r>
        <w:rPr>
          <w:caps w:val="false"/>
          <w:smallCaps w:val="false"/>
        </w:rPr>
        <w:t> </w:t>
      </w:r>
    </w:p>
    <w:tbl>
      <w:tblPr>
        <w:tblW w:w="8437" w:type="dxa"/>
        <w:jc w:val="left"/>
        <w:tblInd w:w="0" w:type="dxa"/>
        <w:tblLayout w:type="fixed"/>
        <w:tblCellMar>
          <w:top w:w="0" w:type="dxa"/>
          <w:left w:w="0" w:type="dxa"/>
          <w:bottom w:w="0" w:type="dxa"/>
          <w:right w:w="0" w:type="dxa"/>
        </w:tblCellMar>
      </w:tblPr>
      <w:tblGrid>
        <w:gridCol w:w="3350"/>
        <w:gridCol w:w="60"/>
        <w:gridCol w:w="236"/>
        <w:gridCol w:w="919"/>
        <w:gridCol w:w="113"/>
        <w:gridCol w:w="113"/>
        <w:gridCol w:w="236"/>
        <w:gridCol w:w="919"/>
        <w:gridCol w:w="60"/>
        <w:gridCol w:w="60"/>
        <w:gridCol w:w="198"/>
        <w:gridCol w:w="939"/>
        <w:gridCol w:w="95"/>
        <w:gridCol w:w="95"/>
        <w:gridCol w:w="198"/>
        <w:gridCol w:w="771"/>
        <w:gridCol w:w="75"/>
      </w:tblGrid>
      <w:tr>
        <w:trPr/>
        <w:tc>
          <w:tcPr>
            <w:tcW w:w="33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6"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75" w:type="dxa"/>
            <w:tcBorders/>
            <w:vAlign w:val="center"/>
          </w:tcPr>
          <w:p>
            <w:pPr>
              <w:pStyle w:val="TableContents"/>
              <w:bidi w:val="0"/>
              <w:spacing w:before="0" w:after="283"/>
              <w:jc w:val="left"/>
              <w:rPr/>
            </w:pPr>
            <w:r>
              <w:rPr/>
              <w:t> </w:t>
            </w:r>
          </w:p>
        </w:tc>
      </w:tr>
      <w:tr>
        <w:trPr/>
        <w:tc>
          <w:tcPr>
            <w:tcW w:w="335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(In thousands)</w:t>
            </w:r>
          </w:p>
        </w:tc>
        <w:tc>
          <w:tcPr>
            <w:tcW w:w="60"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13"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1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20"/>
              </w:rPr>
            </w:pPr>
            <w:r>
              <w:rPr>
                <w:sz w:val="20"/>
              </w:rPr>
              <w:t>$</w:t>
            </w:r>
          </w:p>
        </w:tc>
        <w:tc>
          <w:tcPr>
            <w:tcW w:w="919" w:type="dxa"/>
            <w:tcBorders/>
            <w:shd w:fill="CCEEFF" w:val="clear"/>
            <w:vAlign w:val="center"/>
          </w:tcPr>
          <w:p>
            <w:pPr>
              <w:pStyle w:val="TableContents"/>
              <w:bidi w:val="0"/>
              <w:spacing w:before="0" w:after="283"/>
              <w:jc w:val="right"/>
              <w:rPr>
                <w:sz w:val="20"/>
              </w:rPr>
            </w:pPr>
            <w:r>
              <w:rPr>
                <w:sz w:val="20"/>
              </w:rPr>
              <w:t>566</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20"/>
              </w:rPr>
            </w:pPr>
            <w:r>
              <w:rPr>
                <w:sz w:val="20"/>
              </w:rPr>
              <w:t>$</w:t>
            </w:r>
          </w:p>
        </w:tc>
        <w:tc>
          <w:tcPr>
            <w:tcW w:w="919" w:type="dxa"/>
            <w:tcBorders/>
            <w:shd w:fill="CCEEFF" w:val="clear"/>
            <w:vAlign w:val="center"/>
          </w:tcPr>
          <w:p>
            <w:pPr>
              <w:pStyle w:val="TableContents"/>
              <w:bidi w:val="0"/>
              <w:spacing w:before="0" w:after="283"/>
              <w:jc w:val="right"/>
              <w:rPr>
                <w:sz w:val="20"/>
              </w:rPr>
            </w:pPr>
            <w:r>
              <w:rPr>
                <w:sz w:val="20"/>
              </w:rPr>
              <w:t>987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20"/>
              </w:rPr>
            </w:pPr>
            <w:r>
              <w:rPr>
                <w:sz w:val="20"/>
              </w:rPr>
              <w:t>$</w:t>
            </w:r>
          </w:p>
        </w:tc>
        <w:tc>
          <w:tcPr>
            <w:tcW w:w="939" w:type="dxa"/>
            <w:tcBorders/>
            <w:shd w:fill="CCEEFF" w:val="clear"/>
            <w:vAlign w:val="center"/>
          </w:tcPr>
          <w:p>
            <w:pPr>
              <w:pStyle w:val="TableContents"/>
              <w:bidi w:val="0"/>
              <w:spacing w:before="0" w:after="283"/>
              <w:jc w:val="right"/>
              <w:rPr>
                <w:sz w:val="20"/>
              </w:rPr>
            </w:pPr>
            <w:r>
              <w:rPr>
                <w:sz w:val="20"/>
              </w:rPr>
              <w:t>1,193</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20"/>
              </w:rPr>
            </w:pPr>
            <w:r>
              <w:rPr>
                <w:sz w:val="20"/>
              </w:rPr>
              <w:t>$</w:t>
            </w:r>
          </w:p>
        </w:tc>
        <w:tc>
          <w:tcPr>
            <w:tcW w:w="771" w:type="dxa"/>
            <w:tcBorders/>
            <w:shd w:fill="CCEEFF" w:val="clear"/>
            <w:vAlign w:val="center"/>
          </w:tcPr>
          <w:p>
            <w:pPr>
              <w:pStyle w:val="TableContents"/>
              <w:bidi w:val="0"/>
              <w:spacing w:before="0" w:after="283"/>
              <w:jc w:val="right"/>
              <w:rPr>
                <w:sz w:val="20"/>
              </w:rPr>
            </w:pPr>
            <w:r>
              <w:rPr>
                <w:sz w:val="20"/>
              </w:rPr>
              <w:t>2,057</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3,572</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sz w:val="20"/>
              </w:rPr>
            </w:pPr>
            <w:r>
              <w:rPr>
                <w:sz w:val="20"/>
              </w:rPr>
              <w:t>3,556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sz w:val="20"/>
              </w:rPr>
            </w:pPr>
            <w:r>
              <w:rPr>
                <w:sz w:val="20"/>
              </w:rPr>
              <w:t>6,421</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771" w:type="dxa"/>
            <w:tcBorders/>
            <w:shd w:fill="FFFFFF" w:val="clear"/>
            <w:vAlign w:val="center"/>
          </w:tcPr>
          <w:p>
            <w:pPr>
              <w:pStyle w:val="TableContents"/>
              <w:bidi w:val="0"/>
              <w:spacing w:before="0" w:after="283"/>
              <w:jc w:val="right"/>
              <w:rPr>
                <w:sz w:val="20"/>
              </w:rPr>
            </w:pPr>
            <w:r>
              <w:rPr>
                <w:sz w:val="20"/>
              </w:rPr>
              <w:t>7,363</w:t>
            </w:r>
          </w:p>
        </w:tc>
        <w:tc>
          <w:tcPr>
            <w:tcW w:w="75"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sz w:val="20"/>
              </w:rPr>
            </w:pPr>
            <w:r>
              <w:rPr>
                <w:sz w:val="20"/>
              </w:rPr>
              <w:t>Restructuring expenses</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1,852</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2,880</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sz w:val="20"/>
              </w:rPr>
            </w:pPr>
            <w:r>
              <w:rPr>
                <w:sz w:val="20"/>
              </w:rPr>
              <w:t>Total share-based compensation expense</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5,990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939"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10,494</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9,420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Restructuring expenses were comprised of:</w:t>
      </w:r>
    </w:p>
    <w:p>
      <w:pPr>
        <w:pStyle w:val="TextBody"/>
        <w:bidi w:val="0"/>
        <w:spacing w:before="0" w:after="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2330"/>
        <w:gridCol w:w="60"/>
        <w:gridCol w:w="224"/>
        <w:gridCol w:w="870"/>
        <w:gridCol w:w="107"/>
        <w:gridCol w:w="107"/>
        <w:gridCol w:w="224"/>
        <w:gridCol w:w="1005"/>
        <w:gridCol w:w="60"/>
        <w:gridCol w:w="60"/>
        <w:gridCol w:w="203"/>
        <w:gridCol w:w="788"/>
        <w:gridCol w:w="97"/>
        <w:gridCol w:w="97"/>
        <w:gridCol w:w="203"/>
        <w:gridCol w:w="910"/>
        <w:gridCol w:w="75"/>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37"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8"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75" w:type="dxa"/>
            <w:tcBorders/>
            <w:vAlign w:val="center"/>
          </w:tcPr>
          <w:p>
            <w:pPr>
              <w:pStyle w:val="TableContents"/>
              <w:bidi w:val="0"/>
              <w:spacing w:before="0" w:after="283"/>
              <w:jc w:val="left"/>
              <w:rPr/>
            </w:pPr>
            <w:r>
              <w:rPr/>
              <w:t> </w:t>
            </w:r>
          </w:p>
        </w:tc>
      </w:tr>
      <w:tr>
        <w:trPr/>
        <w:tc>
          <w:tcPr>
            <w:tcW w:w="233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(In thousands)</w:t>
            </w:r>
          </w:p>
        </w:tc>
        <w:tc>
          <w:tcPr>
            <w:tcW w:w="60" w:type="dxa"/>
            <w:tcBorders/>
            <w:vAlign w:val="center"/>
          </w:tcPr>
          <w:p>
            <w:pPr>
              <w:pStyle w:val="TableContents"/>
              <w:bidi w:val="0"/>
              <w:spacing w:before="0" w:after="283"/>
              <w:jc w:val="left"/>
              <w:rPr/>
            </w:pPr>
            <w:r>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7"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1"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1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sz w:val="20"/>
              </w:rPr>
            </w:pPr>
            <w:r>
              <w:rPr>
                <w:sz w:val="20"/>
              </w:rPr>
              <w:t>Cash-related expenses</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20"/>
              </w:rPr>
            </w:pPr>
            <w:r>
              <w:rPr>
                <w:sz w:val="20"/>
              </w:rPr>
              <w:t>$</w:t>
            </w:r>
          </w:p>
        </w:tc>
        <w:tc>
          <w:tcPr>
            <w:tcW w:w="870" w:type="dxa"/>
            <w:tcBorders/>
            <w:shd w:fill="CCEEFF" w:val="clear"/>
            <w:vAlign w:val="center"/>
          </w:tcPr>
          <w:p>
            <w:pPr>
              <w:pStyle w:val="TableContents"/>
              <w:bidi w:val="0"/>
              <w:spacing w:before="0" w:after="283"/>
              <w:jc w:val="right"/>
              <w:rPr>
                <w:sz w:val="20"/>
              </w:rPr>
            </w:pPr>
            <w:r>
              <w:rPr>
                <w:sz w:val="20"/>
              </w:rPr>
              <w:t>2,179</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left"/>
              <w:rPr>
                <w:sz w:val="20"/>
              </w:rPr>
            </w:pPr>
            <w:r>
              <w:rPr>
                <w:sz w:val="20"/>
              </w:rPr>
              <w:t>$</w:t>
            </w:r>
          </w:p>
        </w:tc>
        <w:tc>
          <w:tcPr>
            <w:tcW w:w="1005" w:type="dxa"/>
            <w:tcBorders/>
            <w:shd w:fill="CCEEFF" w:val="clear"/>
            <w:vAlign w:val="center"/>
          </w:tcPr>
          <w:p>
            <w:pPr>
              <w:pStyle w:val="TableContents"/>
              <w:bidi w:val="0"/>
              <w:spacing w:before="0" w:after="283"/>
              <w:jc w:val="right"/>
              <w:rPr/>
            </w:pPr>
            <w:r>
              <w:rPr/>
              <w:t>        </w:t>
            </w: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20"/>
              </w:rPr>
            </w:pPr>
            <w:r>
              <w:rPr>
                <w:sz w:val="20"/>
              </w:rPr>
              <w:t>$</w:t>
            </w:r>
          </w:p>
        </w:tc>
        <w:tc>
          <w:tcPr>
            <w:tcW w:w="788" w:type="dxa"/>
            <w:tcBorders/>
            <w:shd w:fill="CCEEFF" w:val="clear"/>
            <w:vAlign w:val="center"/>
          </w:tcPr>
          <w:p>
            <w:pPr>
              <w:pStyle w:val="TableContents"/>
              <w:bidi w:val="0"/>
              <w:spacing w:before="0" w:after="283"/>
              <w:jc w:val="right"/>
              <w:rPr>
                <w:sz w:val="20"/>
              </w:rPr>
            </w:pPr>
            <w:r>
              <w:rPr>
                <w:sz w:val="20"/>
              </w:rPr>
              <w:t>4,784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left"/>
              <w:rPr>
                <w:sz w:val="20"/>
              </w:rPr>
            </w:pPr>
            <w:r>
              <w:rPr>
                <w:sz w:val="20"/>
              </w:rPr>
              <w:t>$</w:t>
            </w:r>
          </w:p>
        </w:tc>
        <w:tc>
          <w:tcPr>
            <w:tcW w:w="910"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sz w:val="20"/>
              </w:rPr>
            </w:pPr>
            <w:r>
              <w:rPr>
                <w:sz w:val="20"/>
              </w:rPr>
              <w:t>Non-cash related expenses</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1,852</w:t>
            </w:r>
          </w:p>
        </w:tc>
        <w:tc>
          <w:tcPr>
            <w:tcW w:w="107"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2,880</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w:t>
            </w:r>
          </w:p>
        </w:tc>
        <w:tc>
          <w:tcPr>
            <w:tcW w:w="7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sz w:val="20"/>
              </w:rPr>
            </w:pPr>
            <w:r>
              <w:rPr>
                <w:sz w:val="20"/>
              </w:rPr>
              <w:t>Total restructuring expenses</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4,031</w:t>
            </w:r>
          </w:p>
        </w:tc>
        <w:tc>
          <w:tcPr>
            <w:tcW w:w="107"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7,664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sz w:val="20"/>
          <w:bdr w:val="single" w:sz="8" w:space="1" w:color="000000"/>
        </w:rPr>
      </w:pPr>
      <w:r>
        <w:rPr>
          <w:sz w:val="20"/>
          <w:bdr w:val="single" w:sz="8" w:space="1" w:color="000000"/>
        </w:rPr>
        <w:t>Page 8 of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810385" cy="4572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810385" cy="4572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THERAVANCE BIOPHARMA,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Net Income (Loss) to Non-GAAP Net Income (Loss)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1"/>
        <w:gridCol w:w="60"/>
        <w:gridCol w:w="198"/>
        <w:gridCol w:w="865"/>
        <w:gridCol w:w="126"/>
        <w:gridCol w:w="95"/>
        <w:gridCol w:w="198"/>
        <w:gridCol w:w="1031"/>
        <w:gridCol w:w="80"/>
        <w:gridCol w:w="60"/>
        <w:gridCol w:w="168"/>
        <w:gridCol w:w="878"/>
        <w:gridCol w:w="107"/>
        <w:gridCol w:w="80"/>
        <w:gridCol w:w="168"/>
        <w:gridCol w:w="878"/>
        <w:gridCol w:w="102"/>
      </w:tblGrid>
      <w:tr>
        <w:trPr/>
        <w:tc>
          <w:tcPr>
            <w:tcW w:w="5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June 30,</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Six Months Ended June 30,</w:t>
            </w:r>
          </w:p>
        </w:tc>
        <w:tc>
          <w:tcPr>
            <w:tcW w:w="102" w:type="dxa"/>
            <w:tcBorders/>
            <w:vAlign w:val="center"/>
          </w:tcPr>
          <w:p>
            <w:pPr>
              <w:pStyle w:val="TableContents"/>
              <w:bidi w:val="0"/>
              <w:spacing w:before="0" w:after="283"/>
              <w:jc w:val="left"/>
              <w:rPr/>
            </w:pPr>
            <w:r>
              <w:rPr/>
              <w:t> </w:t>
            </w:r>
          </w:p>
        </w:tc>
      </w:tr>
      <w:tr>
        <w:trPr/>
        <w:tc>
          <w:tcPr>
            <w:tcW w:w="5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26"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2026</w:t>
            </w:r>
          </w:p>
        </w:tc>
        <w:tc>
          <w:tcPr>
            <w:tcW w:w="10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4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102" w:type="dxa"/>
            <w:tcBorders/>
            <w:vAlign w:val="center"/>
          </w:tcPr>
          <w:p>
            <w:pPr>
              <w:pStyle w:val="TableContents"/>
              <w:bidi w:val="0"/>
              <w:spacing w:before="0" w:after="283"/>
              <w:jc w:val="left"/>
              <w:rPr/>
            </w:pPr>
            <w:r>
              <w:rPr/>
              <w:t> </w:t>
            </w:r>
          </w:p>
        </w:tc>
      </w:tr>
      <w:tr>
        <w:trPr/>
        <w:tc>
          <w:tcPr>
            <w:tcW w:w="5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3" w:type="dxa"/>
            <w:gridSpan w:val="6"/>
            <w:tcBorders/>
            <w:vAlign w:val="center"/>
          </w:tcPr>
          <w:p>
            <w:pPr>
              <w:pStyle w:val="TableContents"/>
              <w:bidi w:val="0"/>
              <w:spacing w:before="0" w:after="283"/>
              <w:jc w:val="center"/>
              <w:rPr>
                <w:b/>
                <w:sz w:val="20"/>
              </w:rPr>
            </w:pPr>
            <w:r>
              <w:rPr>
                <w:b/>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79" w:type="dxa"/>
            <w:gridSpan w:val="6"/>
            <w:tcBorders/>
            <w:vAlign w:val="center"/>
          </w:tcPr>
          <w:p>
            <w:pPr>
              <w:pStyle w:val="TableContents"/>
              <w:bidi w:val="0"/>
              <w:spacing w:before="0" w:after="283"/>
              <w:jc w:val="center"/>
              <w:rPr>
                <w:b/>
                <w:sz w:val="20"/>
              </w:rPr>
            </w:pPr>
            <w:r>
              <w:rPr>
                <w:b/>
                <w:sz w:val="20"/>
              </w:rPr>
              <w:t>(Unaudited)</w:t>
            </w:r>
          </w:p>
        </w:tc>
        <w:tc>
          <w:tcPr>
            <w:tcW w:w="102" w:type="dxa"/>
            <w:tcBorders/>
            <w:vAlign w:val="center"/>
          </w:tcPr>
          <w:p>
            <w:pPr>
              <w:pStyle w:val="TableContents"/>
              <w:bidi w:val="0"/>
              <w:spacing w:before="0" w:after="283"/>
              <w:jc w:val="left"/>
              <w:rPr/>
            </w:pPr>
            <w:r>
              <w:rPr/>
              <w:t> </w:t>
            </w:r>
          </w:p>
        </w:tc>
      </w:tr>
      <w:tr>
        <w:trPr/>
        <w:tc>
          <w:tcPr>
            <w:tcW w:w="5111" w:type="dxa"/>
            <w:tcBorders/>
            <w:shd w:fill="CCEEFF" w:val="clear"/>
            <w:vAlign w:val="center"/>
          </w:tcPr>
          <w:p>
            <w:pPr>
              <w:pStyle w:val="TableContents"/>
              <w:bidi w:val="0"/>
              <w:spacing w:before="0" w:after="283"/>
              <w:jc w:val="left"/>
              <w:rPr>
                <w:b/>
                <w:sz w:val="20"/>
              </w:rPr>
            </w:pPr>
            <w:r>
              <w:rPr>
                <w:b/>
                <w:sz w:val="20"/>
              </w:rPr>
              <w:t>GAAP net income (loss)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20"/>
              </w:rPr>
            </w:pPr>
            <w:r>
              <w:rPr>
                <w:sz w:val="20"/>
              </w:rPr>
              <w:t>$</w:t>
            </w:r>
          </w:p>
        </w:tc>
        <w:tc>
          <w:tcPr>
            <w:tcW w:w="865" w:type="dxa"/>
            <w:tcBorders/>
            <w:shd w:fill="CCEEFF" w:val="clear"/>
            <w:vAlign w:val="center"/>
          </w:tcPr>
          <w:p>
            <w:pPr>
              <w:pStyle w:val="TableContents"/>
              <w:bidi w:val="0"/>
              <w:spacing w:before="0" w:after="283"/>
              <w:jc w:val="right"/>
              <w:rPr>
                <w:sz w:val="20"/>
              </w:rPr>
            </w:pPr>
            <w:r>
              <w:rPr>
                <w:sz w:val="20"/>
              </w:rPr>
              <w:t>(5,898</w:t>
            </w:r>
          </w:p>
        </w:tc>
        <w:tc>
          <w:tcPr>
            <w:tcW w:w="126" w:type="dxa"/>
            <w:tcBorders/>
            <w:shd w:fill="CCEEFF" w:val="clear"/>
            <w:vAlign w:val="center"/>
          </w:tcPr>
          <w:p>
            <w:pPr>
              <w:pStyle w:val="TableContents"/>
              <w:bidi w:val="0"/>
              <w:spacing w:before="0" w:after="283"/>
              <w:jc w:val="left"/>
              <w:rPr>
                <w:sz w:val="20"/>
              </w:rPr>
            </w:pPr>
            <w:r>
              <w:rPr>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sz w:val="20"/>
              </w:rPr>
            </w:pPr>
            <w:r>
              <w:rPr>
                <w:sz w:val="20"/>
              </w:rPr>
              <w:t>$</w:t>
            </w:r>
          </w:p>
        </w:tc>
        <w:tc>
          <w:tcPr>
            <w:tcW w:w="1031" w:type="dxa"/>
            <w:tcBorders/>
            <w:shd w:fill="CCEEFF" w:val="clear"/>
            <w:vAlign w:val="center"/>
          </w:tcPr>
          <w:p>
            <w:pPr>
              <w:pStyle w:val="TableContents"/>
              <w:bidi w:val="0"/>
              <w:spacing w:before="0" w:after="283"/>
              <w:jc w:val="right"/>
              <w:rPr>
                <w:sz w:val="20"/>
              </w:rPr>
            </w:pPr>
            <w:r>
              <w:rPr>
                <w:sz w:val="20"/>
              </w:rPr>
              <w:t>54,835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20"/>
              </w:rPr>
            </w:pPr>
            <w:r>
              <w:rPr>
                <w:sz w:val="20"/>
              </w:rPr>
              <w:t>$</w:t>
            </w:r>
          </w:p>
        </w:tc>
        <w:tc>
          <w:tcPr>
            <w:tcW w:w="878" w:type="dxa"/>
            <w:tcBorders/>
            <w:shd w:fill="CCEEFF" w:val="clear"/>
            <w:vAlign w:val="center"/>
          </w:tcPr>
          <w:p>
            <w:pPr>
              <w:pStyle w:val="TableContents"/>
              <w:bidi w:val="0"/>
              <w:spacing w:before="0" w:after="283"/>
              <w:jc w:val="right"/>
              <w:rPr>
                <w:sz w:val="20"/>
              </w:rPr>
            </w:pPr>
            <w:r>
              <w:rPr>
                <w:sz w:val="20"/>
              </w:rPr>
              <w:t>(10,831</w:t>
            </w:r>
          </w:p>
        </w:tc>
        <w:tc>
          <w:tcPr>
            <w:tcW w:w="107"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20"/>
              </w:rPr>
            </w:pPr>
            <w:r>
              <w:rPr>
                <w:sz w:val="20"/>
              </w:rPr>
              <w:t>$</w:t>
            </w:r>
          </w:p>
        </w:tc>
        <w:tc>
          <w:tcPr>
            <w:tcW w:w="878" w:type="dxa"/>
            <w:tcBorders/>
            <w:shd w:fill="CCEEFF" w:val="clear"/>
            <w:vAlign w:val="center"/>
          </w:tcPr>
          <w:p>
            <w:pPr>
              <w:pStyle w:val="TableContents"/>
              <w:bidi w:val="0"/>
              <w:spacing w:before="0" w:after="283"/>
              <w:jc w:val="right"/>
              <w:rPr>
                <w:sz w:val="20"/>
              </w:rPr>
            </w:pPr>
            <w:r>
              <w:rPr>
                <w:sz w:val="20"/>
              </w:rPr>
              <w:t>41,256</w:t>
            </w:r>
          </w:p>
        </w:tc>
        <w:tc>
          <w:tcPr>
            <w:tcW w:w="102" w:type="dxa"/>
            <w:tcBorders/>
            <w:shd w:fill="CCEEFF" w:val="clear"/>
            <w:vAlign w:val="center"/>
          </w:tcPr>
          <w:p>
            <w:pPr>
              <w:pStyle w:val="TableContents"/>
              <w:bidi w:val="0"/>
              <w:spacing w:before="0" w:after="283"/>
              <w:jc w:val="left"/>
              <w:rPr/>
            </w:pPr>
            <w:r>
              <w:rPr/>
              <w:t> </w:t>
            </w:r>
          </w:p>
        </w:tc>
      </w:tr>
      <w:tr>
        <w:trPr/>
        <w:tc>
          <w:tcPr>
            <w:tcW w:w="5111" w:type="dxa"/>
            <w:tcBorders/>
            <w:shd w:fill="FFFFFF" w:val="clear"/>
            <w:vAlign w:val="center"/>
          </w:tcPr>
          <w:p>
            <w:pPr>
              <w:pStyle w:val="TableContents"/>
              <w:bidi w:val="0"/>
              <w:spacing w:before="0" w:after="283"/>
              <w:jc w:val="left"/>
              <w:rPr>
                <w:sz w:val="20"/>
                <w:u w:val="single"/>
              </w:rPr>
            </w:pPr>
            <w:r>
              <w:rPr>
                <w:sz w:val="20"/>
                <w:u w:val="single"/>
              </w:rPr>
              <w:t>Adjustments: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102" w:type="dxa"/>
            <w:tcBorders/>
            <w:shd w:fill="FFFFFF" w:val="clear"/>
            <w:vAlign w:val="center"/>
          </w:tcPr>
          <w:p>
            <w:pPr>
              <w:pStyle w:val="TableContents"/>
              <w:bidi w:val="0"/>
              <w:spacing w:before="0" w:after="283"/>
              <w:jc w:val="left"/>
              <w:rPr/>
            </w:pPr>
            <w:r>
              <w:rPr/>
              <w:t> </w:t>
            </w:r>
          </w:p>
        </w:tc>
      </w:tr>
      <w:tr>
        <w:trPr/>
        <w:tc>
          <w:tcPr>
            <w:tcW w:w="5111" w:type="dxa"/>
            <w:tcBorders/>
            <w:shd w:fill="CCEEFF" w:val="clear"/>
            <w:vAlign w:val="center"/>
          </w:tcPr>
          <w:p>
            <w:pPr>
              <w:pStyle w:val="TableContents"/>
              <w:bidi w:val="0"/>
              <w:spacing w:before="0" w:after="283"/>
              <w:jc w:val="left"/>
              <w:rPr>
                <w:sz w:val="20"/>
              </w:rPr>
            </w:pPr>
            <w:r>
              <w:rPr>
                <w:sz w:val="20"/>
              </w:rPr>
              <w:t>Licensing revenue (1)</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20"/>
              </w:rPr>
            </w:pPr>
            <w:r>
              <w:rPr>
                <w:sz w:val="20"/>
              </w:rPr>
              <w:t>-</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sz w:val="20"/>
              </w:rPr>
            </w:pPr>
            <w:r>
              <w:rPr>
                <w:sz w:val="20"/>
              </w:rPr>
              <w:t>(7,500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sz w:val="20"/>
              </w:rPr>
            </w:pPr>
            <w:r>
              <w:rPr>
                <w:sz w:val="20"/>
              </w:rPr>
              <w:t>-</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sz w:val="20"/>
              </w:rPr>
            </w:pPr>
            <w:r>
              <w:rPr>
                <w:sz w:val="20"/>
              </w:rPr>
              <w:t>(7,500</w:t>
            </w:r>
          </w:p>
        </w:tc>
        <w:tc>
          <w:tcPr>
            <w:tcW w:w="102" w:type="dxa"/>
            <w:tcBorders/>
            <w:shd w:fill="CCEEFF" w:val="clear"/>
            <w:vAlign w:val="center"/>
          </w:tcPr>
          <w:p>
            <w:pPr>
              <w:pStyle w:val="TableContents"/>
              <w:bidi w:val="0"/>
              <w:spacing w:before="0" w:after="283"/>
              <w:jc w:val="left"/>
              <w:rPr>
                <w:sz w:val="20"/>
              </w:rPr>
            </w:pPr>
            <w:r>
              <w:rPr>
                <w:sz w:val="20"/>
              </w:rPr>
              <w:t>)</w:t>
            </w:r>
          </w:p>
        </w:tc>
      </w:tr>
      <w:tr>
        <w:trPr/>
        <w:tc>
          <w:tcPr>
            <w:tcW w:w="5111" w:type="dxa"/>
            <w:tcBorders/>
            <w:shd w:fill="FFFFFF" w:val="clear"/>
            <w:vAlign w:val="center"/>
          </w:tcPr>
          <w:p>
            <w:pPr>
              <w:pStyle w:val="TableContents"/>
              <w:bidi w:val="0"/>
              <w:spacing w:before="0" w:after="283"/>
              <w:jc w:val="left"/>
              <w:rPr>
                <w:sz w:val="20"/>
              </w:rPr>
            </w:pPr>
            <w:r>
              <w:rPr>
                <w:sz w:val="20"/>
              </w:rPr>
              <w:t>Net gain on realized contingent milestone and royalty assets (1)</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20"/>
              </w:rPr>
            </w:pPr>
            <w:r>
              <w:rPr>
                <w:sz w:val="20"/>
              </w:rPr>
              <w:t>-</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sz w:val="20"/>
              </w:rPr>
            </w:pPr>
            <w:r>
              <w:rPr>
                <w:sz w:val="20"/>
              </w:rPr>
              <w:t>(75,137</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sz w:val="20"/>
              </w:rPr>
            </w:pPr>
            <w:r>
              <w:rPr>
                <w:sz w:val="20"/>
              </w:rPr>
              <w:t>-</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sz w:val="20"/>
              </w:rPr>
            </w:pPr>
            <w:r>
              <w:rPr>
                <w:sz w:val="20"/>
              </w:rPr>
              <w:t>(75,137</w:t>
            </w:r>
          </w:p>
        </w:tc>
        <w:tc>
          <w:tcPr>
            <w:tcW w:w="102" w:type="dxa"/>
            <w:tcBorders/>
            <w:shd w:fill="FFFFFF" w:val="clear"/>
            <w:vAlign w:val="center"/>
          </w:tcPr>
          <w:p>
            <w:pPr>
              <w:pStyle w:val="TableContents"/>
              <w:bidi w:val="0"/>
              <w:spacing w:before="0" w:after="283"/>
              <w:jc w:val="left"/>
              <w:rPr>
                <w:sz w:val="20"/>
              </w:rPr>
            </w:pPr>
            <w:r>
              <w:rPr>
                <w:sz w:val="20"/>
              </w:rPr>
              <w:t>)</w:t>
            </w:r>
          </w:p>
        </w:tc>
      </w:tr>
      <w:tr>
        <w:trPr/>
        <w:tc>
          <w:tcPr>
            <w:tcW w:w="5111" w:type="dxa"/>
            <w:tcBorders/>
            <w:shd w:fill="CCEEFF" w:val="clear"/>
            <w:vAlign w:val="center"/>
          </w:tcPr>
          <w:p>
            <w:pPr>
              <w:pStyle w:val="TableContents"/>
              <w:bidi w:val="0"/>
              <w:spacing w:before="0" w:after="283"/>
              <w:jc w:val="left"/>
              <w:rPr>
                <w:sz w:val="20"/>
              </w:rPr>
            </w:pPr>
            <w:r>
              <w:rPr>
                <w:sz w:val="20"/>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20"/>
              </w:rPr>
            </w:pPr>
            <w:r>
              <w:rPr>
                <w:sz w:val="20"/>
              </w:rPr>
              <w:t>5,990</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sz w:val="20"/>
              </w:rPr>
            </w:pPr>
            <w:r>
              <w:rPr>
                <w:sz w:val="20"/>
              </w:rPr>
              <w:t>4,543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sz w:val="20"/>
              </w:rPr>
            </w:pPr>
            <w:r>
              <w:rPr>
                <w:sz w:val="20"/>
              </w:rPr>
              <w:t>10,494</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sz w:val="20"/>
              </w:rPr>
            </w:pPr>
            <w:r>
              <w:rPr>
                <w:sz w:val="20"/>
              </w:rPr>
              <w:t>9,420</w:t>
            </w:r>
          </w:p>
        </w:tc>
        <w:tc>
          <w:tcPr>
            <w:tcW w:w="102" w:type="dxa"/>
            <w:tcBorders/>
            <w:shd w:fill="CCEEFF" w:val="clear"/>
            <w:vAlign w:val="center"/>
          </w:tcPr>
          <w:p>
            <w:pPr>
              <w:pStyle w:val="TableContents"/>
              <w:bidi w:val="0"/>
              <w:spacing w:before="0" w:after="283"/>
              <w:jc w:val="left"/>
              <w:rPr/>
            </w:pPr>
            <w:r>
              <w:rPr/>
              <w:t> </w:t>
            </w:r>
          </w:p>
        </w:tc>
      </w:tr>
      <w:tr>
        <w:trPr/>
        <w:tc>
          <w:tcPr>
            <w:tcW w:w="5111" w:type="dxa"/>
            <w:tcBorders/>
            <w:shd w:fill="FFFFFF" w:val="clear"/>
            <w:vAlign w:val="center"/>
          </w:tcPr>
          <w:p>
            <w:pPr>
              <w:pStyle w:val="TableContents"/>
              <w:bidi w:val="0"/>
              <w:spacing w:before="0" w:after="283"/>
              <w:jc w:val="left"/>
              <w:rPr>
                <w:sz w:val="20"/>
              </w:rPr>
            </w:pPr>
            <w:r>
              <w:rPr>
                <w:sz w:val="20"/>
              </w:rPr>
              <w:t>Non-cash interest expense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20"/>
              </w:rPr>
            </w:pPr>
            <w:r>
              <w:rPr>
                <w:sz w:val="20"/>
              </w:rPr>
              <w:t>-</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sz w:val="20"/>
              </w:rPr>
            </w:pPr>
            <w:r>
              <w:rPr>
                <w:sz w:val="20"/>
              </w:rPr>
              <w:t>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sz w:val="20"/>
              </w:rPr>
            </w:pPr>
            <w:r>
              <w:rPr>
                <w:sz w:val="20"/>
              </w:rPr>
              <w:t>-</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sz w:val="20"/>
              </w:rPr>
            </w:pPr>
            <w:r>
              <w:rPr>
                <w:sz w:val="20"/>
              </w:rPr>
              <w:t>1,306</w:t>
            </w:r>
          </w:p>
        </w:tc>
        <w:tc>
          <w:tcPr>
            <w:tcW w:w="102" w:type="dxa"/>
            <w:tcBorders/>
            <w:shd w:fill="FFFFFF" w:val="clear"/>
            <w:vAlign w:val="center"/>
          </w:tcPr>
          <w:p>
            <w:pPr>
              <w:pStyle w:val="TableContents"/>
              <w:bidi w:val="0"/>
              <w:spacing w:before="0" w:after="283"/>
              <w:jc w:val="left"/>
              <w:rPr/>
            </w:pPr>
            <w:r>
              <w:rPr/>
              <w:t> </w:t>
            </w:r>
          </w:p>
        </w:tc>
      </w:tr>
      <w:tr>
        <w:trPr/>
        <w:tc>
          <w:tcPr>
            <w:tcW w:w="5111" w:type="dxa"/>
            <w:tcBorders/>
            <w:shd w:fill="CCEEFF" w:val="clear"/>
            <w:vAlign w:val="center"/>
          </w:tcPr>
          <w:p>
            <w:pPr>
              <w:pStyle w:val="TableContents"/>
              <w:bidi w:val="0"/>
              <w:spacing w:before="0" w:after="283"/>
              <w:jc w:val="left"/>
              <w:rPr>
                <w:sz w:val="20"/>
              </w:rPr>
            </w:pPr>
            <w:r>
              <w:rPr>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865" w:type="dxa"/>
            <w:tcBorders/>
            <w:shd w:fill="CCEEFF" w:val="clear"/>
            <w:vAlign w:val="center"/>
          </w:tcPr>
          <w:p>
            <w:pPr>
              <w:pStyle w:val="TableContents"/>
              <w:bidi w:val="0"/>
              <w:spacing w:before="0" w:after="283"/>
              <w:jc w:val="right"/>
              <w:rPr>
                <w:sz w:val="20"/>
              </w:rPr>
            </w:pPr>
            <w:r>
              <w:rPr>
                <w:sz w:val="20"/>
              </w:rPr>
              <w:t>1,107</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1" w:type="dxa"/>
            <w:tcBorders/>
            <w:shd w:fill="CCEEFF" w:val="clear"/>
            <w:vAlign w:val="center"/>
          </w:tcPr>
          <w:p>
            <w:pPr>
              <w:pStyle w:val="TableContents"/>
              <w:bidi w:val="0"/>
              <w:spacing w:before="0" w:after="283"/>
              <w:jc w:val="right"/>
              <w:rPr>
                <w:sz w:val="20"/>
              </w:rPr>
            </w:pPr>
            <w:r>
              <w:rPr>
                <w:sz w:val="20"/>
              </w:rPr>
              <w:t>18,371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sz w:val="20"/>
              </w:rPr>
            </w:pPr>
            <w:r>
              <w:rPr>
                <w:sz w:val="20"/>
              </w:rPr>
              <w:t>(430</w:t>
            </w:r>
          </w:p>
        </w:tc>
        <w:tc>
          <w:tcPr>
            <w:tcW w:w="107" w:type="dxa"/>
            <w:tcBorders/>
            <w:shd w:fill="CCEEFF" w:val="clear"/>
            <w:vAlign w:val="center"/>
          </w:tcPr>
          <w:p>
            <w:pPr>
              <w:pStyle w:val="TableContents"/>
              <w:bidi w:val="0"/>
              <w:spacing w:before="0" w:after="283"/>
              <w:jc w:val="lef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sz w:val="20"/>
              </w:rPr>
            </w:pPr>
            <w:r>
              <w:rPr>
                <w:sz w:val="20"/>
              </w:rPr>
              <w:t>17,812</w:t>
            </w:r>
          </w:p>
        </w:tc>
        <w:tc>
          <w:tcPr>
            <w:tcW w:w="102" w:type="dxa"/>
            <w:tcBorders/>
            <w:shd w:fill="CCEEFF" w:val="clear"/>
            <w:vAlign w:val="center"/>
          </w:tcPr>
          <w:p>
            <w:pPr>
              <w:pStyle w:val="TableContents"/>
              <w:bidi w:val="0"/>
              <w:spacing w:before="0" w:after="283"/>
              <w:jc w:val="left"/>
              <w:rPr/>
            </w:pPr>
            <w:r>
              <w:rPr/>
              <w:t> </w:t>
            </w:r>
          </w:p>
        </w:tc>
      </w:tr>
      <w:tr>
        <w:trPr/>
        <w:tc>
          <w:tcPr>
            <w:tcW w:w="5111" w:type="dxa"/>
            <w:tcBorders/>
            <w:shd w:fill="FFFFFF" w:val="clear"/>
            <w:vAlign w:val="center"/>
          </w:tcPr>
          <w:p>
            <w:pPr>
              <w:pStyle w:val="TableContents"/>
              <w:bidi w:val="0"/>
              <w:spacing w:before="0" w:after="283"/>
              <w:jc w:val="left"/>
              <w:rPr>
                <w:sz w:val="20"/>
              </w:rPr>
            </w:pPr>
            <w:r>
              <w:rPr>
                <w:sz w:val="20"/>
              </w:rPr>
              <w:t>Restructuring expense (excl. share-based compensation) (1)</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865" w:type="dxa"/>
            <w:tcBorders/>
            <w:shd w:fill="FFFFFF" w:val="clear"/>
            <w:vAlign w:val="center"/>
          </w:tcPr>
          <w:p>
            <w:pPr>
              <w:pStyle w:val="TableContents"/>
              <w:bidi w:val="0"/>
              <w:spacing w:before="0" w:after="283"/>
              <w:jc w:val="right"/>
              <w:rPr>
                <w:sz w:val="20"/>
              </w:rPr>
            </w:pPr>
            <w:r>
              <w:rPr>
                <w:sz w:val="20"/>
              </w:rPr>
              <w:t>2,179</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1"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sz w:val="20"/>
              </w:rPr>
            </w:pPr>
            <w:r>
              <w:rPr>
                <w:sz w:val="20"/>
              </w:rPr>
              <w:t>4,784</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sz w:val="20"/>
              </w:rPr>
            </w:pPr>
            <w:r>
              <w:rPr>
                <w:sz w:val="20"/>
              </w:rPr>
              <w:t>-</w:t>
            </w:r>
          </w:p>
        </w:tc>
        <w:tc>
          <w:tcPr>
            <w:tcW w:w="102" w:type="dxa"/>
            <w:tcBorders/>
            <w:shd w:fill="FFFFFF" w:val="clear"/>
            <w:vAlign w:val="center"/>
          </w:tcPr>
          <w:p>
            <w:pPr>
              <w:pStyle w:val="TableContents"/>
              <w:bidi w:val="0"/>
              <w:spacing w:before="0" w:after="283"/>
              <w:jc w:val="left"/>
              <w:rPr/>
            </w:pPr>
            <w:r>
              <w:rPr/>
              <w:t> </w:t>
            </w:r>
          </w:p>
        </w:tc>
      </w:tr>
      <w:tr>
        <w:trPr/>
        <w:tc>
          <w:tcPr>
            <w:tcW w:w="5111" w:type="dxa"/>
            <w:tcBorders/>
            <w:shd w:fill="CCEEFF" w:val="clear"/>
            <w:vAlign w:val="center"/>
          </w:tcPr>
          <w:p>
            <w:pPr>
              <w:pStyle w:val="TableContents"/>
              <w:bidi w:val="0"/>
              <w:spacing w:before="0" w:after="283"/>
              <w:jc w:val="left"/>
              <w:rPr>
                <w:sz w:val="20"/>
              </w:rPr>
            </w:pPr>
            <w:r>
              <w:rPr>
                <w:sz w:val="20"/>
              </w:rPr>
              <w:t>Transaction-related expense (1)</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6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6,089</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1"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6,089</w:t>
            </w:r>
          </w:p>
        </w:tc>
        <w:tc>
          <w:tcPr>
            <w:tcW w:w="1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02" w:type="dxa"/>
            <w:tcBorders/>
            <w:shd w:fill="CCEEFF" w:val="clear"/>
            <w:vAlign w:val="center"/>
          </w:tcPr>
          <w:p>
            <w:pPr>
              <w:pStyle w:val="TableContents"/>
              <w:bidi w:val="0"/>
              <w:spacing w:before="0" w:after="283"/>
              <w:jc w:val="left"/>
              <w:rPr/>
            </w:pPr>
            <w:r>
              <w:rPr/>
              <w:t> </w:t>
            </w:r>
          </w:p>
        </w:tc>
      </w:tr>
      <w:tr>
        <w:trPr/>
        <w:tc>
          <w:tcPr>
            <w:tcW w:w="5111" w:type="dxa"/>
            <w:tcBorders/>
            <w:shd w:fill="FFFFFF" w:val="clear"/>
            <w:vAlign w:val="center"/>
          </w:tcPr>
          <w:p>
            <w:pPr>
              <w:pStyle w:val="TableContents"/>
              <w:bidi w:val="0"/>
              <w:spacing w:before="0" w:after="283"/>
              <w:jc w:val="left"/>
              <w:rPr>
                <w:b/>
                <w:sz w:val="20"/>
              </w:rPr>
            </w:pPr>
            <w:r>
              <w:rPr>
                <w:b/>
                <w:sz w:val="20"/>
              </w:rPr>
              <w:t>Non-GAAP net income (loss)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6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9,467</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031"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(4,225</w:t>
            </w:r>
          </w:p>
        </w:tc>
        <w:tc>
          <w:tcPr>
            <w:tcW w:w="80" w:type="dxa"/>
            <w:tcBorders/>
            <w:shd w:fill="FFFFFF" w:val="clear"/>
            <w:vAlign w:val="center"/>
          </w:tcPr>
          <w:p>
            <w:pPr>
              <w:pStyle w:val="TableContents"/>
              <w:bidi w:val="0"/>
              <w:spacing w:before="0" w:after="283"/>
              <w:jc w:val="lef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10,106</w:t>
            </w:r>
          </w:p>
        </w:tc>
        <w:tc>
          <w:tcPr>
            <w:tcW w:w="1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(12,843</w:t>
            </w:r>
          </w:p>
        </w:tc>
        <w:tc>
          <w:tcPr>
            <w:tcW w:w="102" w:type="dxa"/>
            <w:tcBorders/>
            <w:shd w:fill="FFFFFF" w:val="clear"/>
            <w:vAlign w:val="center"/>
          </w:tcPr>
          <w:p>
            <w:pPr>
              <w:pStyle w:val="TableContents"/>
              <w:bidi w:val="0"/>
              <w:spacing w:before="0" w:after="283"/>
              <w:jc w:val="left"/>
              <w:rPr>
                <w:b/>
                <w:sz w:val="20"/>
              </w:rPr>
            </w:pPr>
            <w:r>
              <w:rPr>
                <w:b/>
                <w:sz w:val="20"/>
              </w:rPr>
              <w: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Non-recurring item</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Page 9 of 9</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3579</Words>
  <Characters>20160</Characters>
  <CharactersWithSpaces>24145</CharactersWithSpaces>
  <Paragraphs>1434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